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7C960">
      <w:pPr>
        <w:spacing w:before="146" w:line="224" w:lineRule="auto"/>
        <w:ind w:left="2892"/>
        <w:outlineLvl w:val="0"/>
        <w:rPr>
          <w:rFonts w:ascii="黑体" w:hAnsi="黑体" w:eastAsia="黑体" w:cs="黑体"/>
          <w:sz w:val="71"/>
          <w:szCs w:val="71"/>
        </w:rPr>
      </w:pPr>
      <w:r>
        <w:rPr>
          <w:rFonts w:ascii="黑体" w:hAnsi="黑体" w:eastAsia="黑体" w:cs="黑体"/>
          <w:spacing w:val="-1"/>
          <w:sz w:val="71"/>
          <w:szCs w:val="71"/>
        </w:rPr>
        <w:t>补充文件（</w:t>
      </w:r>
      <w:r>
        <w:rPr>
          <w:rFonts w:ascii="Arial" w:hAnsi="Arial" w:eastAsia="Arial" w:cs="Arial"/>
          <w:spacing w:val="-1"/>
          <w:sz w:val="71"/>
          <w:szCs w:val="71"/>
        </w:rPr>
        <w:t xml:space="preserve">1 </w:t>
      </w:r>
      <w:r>
        <w:rPr>
          <w:rFonts w:ascii="黑体" w:hAnsi="黑体" w:eastAsia="黑体" w:cs="黑体"/>
          <w:spacing w:val="-1"/>
          <w:sz w:val="71"/>
          <w:szCs w:val="71"/>
        </w:rPr>
        <w:t>号）</w:t>
      </w:r>
    </w:p>
    <w:p w14:paraId="1A2A9E1D">
      <w:pPr>
        <w:spacing w:before="250" w:line="227" w:lineRule="auto"/>
        <w:ind w:left="2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</w:rPr>
        <w:t>南开大学八里台校区综合实验楼部分维修改造工程</w:t>
      </w:r>
    </w:p>
    <w:p w14:paraId="26C48953">
      <w:pPr>
        <w:spacing w:before="159" w:line="227" w:lineRule="auto"/>
        <w:ind w:left="2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6"/>
          <w:sz w:val="30"/>
          <w:szCs w:val="30"/>
        </w:rPr>
        <w:t>NK2025G036</w:t>
      </w:r>
    </w:p>
    <w:p w14:paraId="57208261">
      <w:pPr>
        <w:spacing w:line="259" w:lineRule="auto"/>
        <w:rPr>
          <w:rFonts w:ascii="Arial"/>
          <w:sz w:val="21"/>
        </w:rPr>
      </w:pPr>
    </w:p>
    <w:p w14:paraId="47ABEBAE">
      <w:pPr>
        <w:spacing w:line="31" w:lineRule="exact"/>
      </w:pPr>
      <w:r>
        <w:drawing>
          <wp:inline distT="0" distB="0" distL="0" distR="0">
            <wp:extent cx="5981700" cy="196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ADE3C">
      <w:pPr>
        <w:pStyle w:val="2"/>
        <w:spacing w:before="278" w:line="360" w:lineRule="auto"/>
        <w:ind w:left="45"/>
        <w:rPr>
          <w:b/>
          <w:bCs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致：各潜在供应商</w:t>
      </w:r>
    </w:p>
    <w:p w14:paraId="42A1C74F">
      <w:pPr>
        <w:pStyle w:val="2"/>
        <w:spacing w:before="240" w:line="360" w:lineRule="auto"/>
        <w:ind w:left="614"/>
        <w:rPr>
          <w:b/>
          <w:bCs/>
          <w:spacing w:val="-20"/>
          <w:sz w:val="24"/>
          <w:szCs w:val="24"/>
        </w:rPr>
      </w:pPr>
      <w:r>
        <w:rPr>
          <w:b/>
          <w:bCs/>
          <w:spacing w:val="-20"/>
          <w:sz w:val="24"/>
          <w:szCs w:val="24"/>
        </w:rPr>
        <w:t xml:space="preserve">关于“ </w:t>
      </w:r>
      <w:r>
        <w:rPr>
          <w:rFonts w:hint="eastAsia"/>
          <w:b/>
          <w:bCs/>
          <w:spacing w:val="-20"/>
          <w:sz w:val="24"/>
          <w:szCs w:val="24"/>
        </w:rPr>
        <w:t>南开大学八里台校区综合实验楼部分维修改造工程</w:t>
      </w:r>
      <w:r>
        <w:rPr>
          <w:b/>
          <w:bCs/>
          <w:spacing w:val="-20"/>
          <w:sz w:val="24"/>
          <w:szCs w:val="24"/>
        </w:rPr>
        <w:t>” 的供应商问题澄清如下：</w:t>
      </w:r>
    </w:p>
    <w:p w14:paraId="6254EC6F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量单及图纸未提供原雨水管管径，原状雨水管铸铁和塑料管径以多大的占多数？</w:t>
      </w:r>
    </w:p>
    <w:p w14:paraId="6EFF3A55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4457700" cy="4191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DD12E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eastAsia="zh"/>
        </w:rPr>
      </w:pPr>
      <w:r>
        <w:rPr>
          <w:rFonts w:hint="eastAsia" w:ascii="仿宋" w:hAnsi="仿宋" w:eastAsia="仿宋" w:cs="仿宋"/>
          <w:sz w:val="24"/>
          <w:szCs w:val="24"/>
          <w:lang w:eastAsia="zh"/>
        </w:rPr>
        <w:t>回复：拆除雨水管首层及埋地为铸铁管，其余为</w:t>
      </w:r>
      <w:r>
        <w:rPr>
          <w:rFonts w:hint="eastAsia" w:ascii="仿宋" w:hAnsi="仿宋" w:eastAsia="仿宋" w:cs="仿宋"/>
          <w:sz w:val="24"/>
          <w:szCs w:val="24"/>
        </w:rPr>
        <w:t>PVC-U</w:t>
      </w:r>
      <w:r>
        <w:rPr>
          <w:rFonts w:hint="eastAsia" w:ascii="仿宋" w:hAnsi="仿宋" w:eastAsia="仿宋" w:cs="仿宋"/>
          <w:sz w:val="24"/>
          <w:szCs w:val="24"/>
          <w:lang w:eastAsia="zh"/>
        </w:rPr>
        <w:t>排水管，管径同新换管径。</w:t>
      </w:r>
    </w:p>
    <w:p w14:paraId="2708DE95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室外雨水检查井需要清掏和修复的程度</w:t>
      </w:r>
    </w:p>
    <w:p w14:paraId="1A4FB061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72405" cy="602615"/>
            <wp:effectExtent l="0" t="0" r="4445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19887">
      <w:pPr>
        <w:spacing w:line="360" w:lineRule="auto"/>
        <w:ind w:firstLine="482" w:firstLineChars="200"/>
        <w:rPr>
          <w:rFonts w:hint="eastAsia" w:ascii="仿宋" w:hAnsi="仿宋" w:eastAsia="仿宋" w:cs="仿宋"/>
          <w:sz w:val="24"/>
          <w:szCs w:val="24"/>
          <w:lang w:eastAsia="zh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"/>
        </w:rPr>
        <w:t>回复：</w:t>
      </w:r>
      <w:r>
        <w:rPr>
          <w:rFonts w:hint="eastAsia" w:ascii="仿宋" w:hAnsi="仿宋" w:eastAsia="仿宋" w:cs="仿宋"/>
          <w:sz w:val="24"/>
          <w:szCs w:val="24"/>
          <w:lang w:eastAsia="zh"/>
        </w:rPr>
        <w:t>检查井内沉泥、砂石、树叶、垃圾等杂物彻底清除，保证排水管通畅；检查井外观破损、裂缝、渗漏、井壁坍塌等情况，恢复完整，实际情况以现场为准。</w:t>
      </w:r>
    </w:p>
    <w:p w14:paraId="285F47A3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现场埋地雨水管是否涉及砂垫层的拆除及恢复？</w:t>
      </w:r>
    </w:p>
    <w:p w14:paraId="00CE1240">
      <w:pPr>
        <w:spacing w:line="360" w:lineRule="auto"/>
        <w:ind w:firstLine="482" w:firstLineChars="200"/>
        <w:rPr>
          <w:rFonts w:hint="eastAsia" w:ascii="仿宋" w:hAnsi="仿宋" w:eastAsia="仿宋" w:cs="仿宋"/>
          <w:sz w:val="24"/>
          <w:szCs w:val="24"/>
          <w:lang w:eastAsia="zh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"/>
        </w:rPr>
        <w:t>回复：</w:t>
      </w:r>
      <w:r>
        <w:rPr>
          <w:rFonts w:hint="eastAsia" w:ascii="仿宋" w:hAnsi="仿宋" w:eastAsia="仿宋" w:cs="仿宋"/>
          <w:sz w:val="24"/>
          <w:szCs w:val="24"/>
          <w:lang w:eastAsia="zh"/>
        </w:rPr>
        <w:t>详见雨水管道系统图。</w:t>
      </w:r>
    </w:p>
    <w:p w14:paraId="715717A4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四、电气配管拆除是否涉及剔槽</w:t>
      </w:r>
    </w:p>
    <w:p w14:paraId="7D360974">
      <w:pPr>
        <w:spacing w:line="360" w:lineRule="auto"/>
        <w:ind w:firstLine="482" w:firstLineChars="200"/>
        <w:rPr>
          <w:rFonts w:hint="eastAsia" w:ascii="仿宋" w:hAnsi="仿宋" w:eastAsia="仿宋" w:cs="仿宋"/>
          <w:sz w:val="24"/>
          <w:szCs w:val="24"/>
          <w:lang w:eastAsia="zh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"/>
        </w:rPr>
        <w:t>回复：</w:t>
      </w:r>
      <w:r>
        <w:rPr>
          <w:rFonts w:hint="eastAsia" w:ascii="仿宋" w:hAnsi="仿宋" w:eastAsia="仿宋" w:cs="仿宋"/>
          <w:sz w:val="24"/>
          <w:szCs w:val="24"/>
          <w:lang w:eastAsia="zh"/>
        </w:rPr>
        <w:t>涉及</w:t>
      </w:r>
    </w:p>
    <w:p w14:paraId="60F8A134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量单配管与配线工程量基本一致，但电线工程量应为配管*根数，量单工程量是否为没有*3根的工程量？</w:t>
      </w:r>
    </w:p>
    <w:p w14:paraId="3D4D245A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69230" cy="421640"/>
            <wp:effectExtent l="0" t="0" r="7620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B28E4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回复：因为清单名称是3*2.5所以清单量没有*3，定额量是*3的。</w:t>
      </w:r>
    </w:p>
    <w:p w14:paraId="4F98F359">
      <w:pPr>
        <w:numPr>
          <w:ilvl w:val="0"/>
          <w:numId w:val="0"/>
        </w:num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六、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室外地面除挖填土外是否还应恢复混凝土或沥青地面，量单未见此项</w:t>
      </w:r>
    </w:p>
    <w:p w14:paraId="38C94151">
      <w:pPr>
        <w:spacing w:line="360" w:lineRule="auto"/>
        <w:ind w:firstLine="482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eastAsia="zh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"/>
        </w:rPr>
        <w:t>回复：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"/>
        </w:rPr>
        <w:t>恢复，技术要求5.2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eastAsia="zh-CN"/>
        </w:rPr>
        <w:t>，量单含此部分内容。</w:t>
      </w:r>
    </w:p>
    <w:p w14:paraId="31C088EA">
      <w:pPr>
        <w:numPr>
          <w:ilvl w:val="0"/>
          <w:numId w:val="0"/>
        </w:num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七、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图纸答疑：</w:t>
      </w:r>
    </w:p>
    <w:tbl>
      <w:tblPr>
        <w:tblStyle w:val="3"/>
        <w:tblW w:w="5326" w:type="pct"/>
        <w:tblInd w:w="-3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162"/>
        <w:gridCol w:w="3589"/>
        <w:gridCol w:w="1309"/>
        <w:gridCol w:w="3687"/>
      </w:tblGrid>
      <w:tr w14:paraId="6B56C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1739" w:type="dxa"/>
            <w:gridSpan w:val="2"/>
            <w:shd w:val="clear" w:color="auto" w:fill="FFFFFF"/>
            <w:vAlign w:val="center"/>
          </w:tcPr>
          <w:p w14:paraId="42514B0E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结构类型/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建筑面积</w:t>
            </w:r>
          </w:p>
        </w:tc>
        <w:tc>
          <w:tcPr>
            <w:tcW w:w="2967" w:type="dxa"/>
            <w:shd w:val="clear" w:color="auto" w:fill="FFFFFF"/>
            <w:vAlign w:val="center"/>
          </w:tcPr>
          <w:p w14:paraId="43B92DF4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框架剪力墙结构</w:t>
            </w:r>
          </w:p>
        </w:tc>
        <w:tc>
          <w:tcPr>
            <w:tcW w:w="1082" w:type="dxa"/>
            <w:shd w:val="clear" w:color="auto" w:fill="FFFFFF"/>
            <w:vAlign w:val="center"/>
          </w:tcPr>
          <w:p w14:paraId="3224C9A0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施工单位</w:t>
            </w:r>
          </w:p>
        </w:tc>
        <w:tc>
          <w:tcPr>
            <w:tcW w:w="3049" w:type="dxa"/>
            <w:shd w:val="clear" w:color="auto" w:fill="FFFFFF"/>
            <w:vAlign w:val="center"/>
          </w:tcPr>
          <w:p w14:paraId="4857CCC0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/</w:t>
            </w:r>
          </w:p>
        </w:tc>
      </w:tr>
      <w:tr w14:paraId="3FAB9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1739" w:type="dxa"/>
            <w:gridSpan w:val="2"/>
            <w:shd w:val="clear" w:color="auto" w:fill="FFFFFF"/>
            <w:vAlign w:val="center"/>
          </w:tcPr>
          <w:p w14:paraId="7A6FD5A0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专业名称</w:t>
            </w:r>
          </w:p>
        </w:tc>
        <w:tc>
          <w:tcPr>
            <w:tcW w:w="2967" w:type="dxa"/>
            <w:shd w:val="clear" w:color="auto" w:fill="FFFFFF"/>
            <w:vAlign w:val="center"/>
          </w:tcPr>
          <w:p w14:paraId="2F635F86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/</w:t>
            </w:r>
          </w:p>
        </w:tc>
        <w:tc>
          <w:tcPr>
            <w:tcW w:w="1082" w:type="dxa"/>
            <w:shd w:val="clear" w:color="auto" w:fill="FFFFFF"/>
            <w:vAlign w:val="center"/>
          </w:tcPr>
          <w:p w14:paraId="12547006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日期</w:t>
            </w:r>
          </w:p>
        </w:tc>
        <w:tc>
          <w:tcPr>
            <w:tcW w:w="3049" w:type="dxa"/>
            <w:shd w:val="clear" w:color="auto" w:fill="FFFFFF"/>
            <w:vAlign w:val="center"/>
          </w:tcPr>
          <w:p w14:paraId="4C5A4F93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2026年 1 月 12 日</w:t>
            </w:r>
          </w:p>
        </w:tc>
      </w:tr>
      <w:tr w14:paraId="1C31C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778" w:type="dxa"/>
            <w:shd w:val="clear" w:color="auto" w:fill="FFFFFF"/>
            <w:vAlign w:val="center"/>
          </w:tcPr>
          <w:p w14:paraId="352C1725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961" w:type="dxa"/>
            <w:shd w:val="clear" w:color="auto" w:fill="FFFFFF"/>
            <w:vAlign w:val="center"/>
          </w:tcPr>
          <w:p w14:paraId="7780ABE6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图号</w:t>
            </w:r>
          </w:p>
        </w:tc>
        <w:tc>
          <w:tcPr>
            <w:tcW w:w="2967" w:type="dxa"/>
            <w:shd w:val="clear" w:color="auto" w:fill="FFFFFF"/>
            <w:vAlign w:val="center"/>
          </w:tcPr>
          <w:p w14:paraId="1E4F7F02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问题</w:t>
            </w:r>
          </w:p>
        </w:tc>
        <w:tc>
          <w:tcPr>
            <w:tcW w:w="4131" w:type="dxa"/>
            <w:gridSpan w:val="2"/>
            <w:shd w:val="clear" w:color="auto" w:fill="FFFFFF"/>
            <w:vAlign w:val="center"/>
          </w:tcPr>
          <w:p w14:paraId="6AC82B4B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答复意见（变更、洽商内容）</w:t>
            </w:r>
          </w:p>
        </w:tc>
      </w:tr>
      <w:tr w14:paraId="69FF7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5" w:hRule="atLeast"/>
        </w:trPr>
        <w:tc>
          <w:tcPr>
            <w:tcW w:w="778" w:type="dxa"/>
            <w:shd w:val="clear" w:color="auto" w:fill="FFFFFF"/>
            <w:vAlign w:val="center"/>
          </w:tcPr>
          <w:p w14:paraId="3C76410B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961" w:type="dxa"/>
            <w:shd w:val="clear" w:color="auto" w:fill="FFFFFF"/>
            <w:vAlign w:val="center"/>
          </w:tcPr>
          <w:p w14:paraId="1FAA2142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A001</w:t>
            </w:r>
          </w:p>
        </w:tc>
        <w:tc>
          <w:tcPr>
            <w:tcW w:w="2967" w:type="dxa"/>
            <w:shd w:val="clear" w:color="auto" w:fill="FFFFFF"/>
            <w:vAlign w:val="center"/>
          </w:tcPr>
          <w:p w14:paraId="5CCAA7C8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营造做法-台阶-工序1：面层花岗岩石板原图利旧，勘现时说换新，是否换新？如果换新，开标前是否调整最高限价和工程量清单？</w:t>
            </w:r>
          </w:p>
        </w:tc>
        <w:tc>
          <w:tcPr>
            <w:tcW w:w="4131" w:type="dxa"/>
            <w:gridSpan w:val="2"/>
            <w:shd w:val="clear" w:color="auto" w:fill="FFFFFF"/>
            <w:vAlign w:val="center"/>
          </w:tcPr>
          <w:p w14:paraId="65939672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按照全部换新考虑，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清单已是全部换新的量</w:t>
            </w:r>
          </w:p>
        </w:tc>
      </w:tr>
      <w:tr w14:paraId="6E2A6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3" w:hRule="atLeast"/>
        </w:trPr>
        <w:tc>
          <w:tcPr>
            <w:tcW w:w="778" w:type="dxa"/>
            <w:shd w:val="clear" w:color="auto" w:fill="FFFFFF"/>
            <w:vAlign w:val="center"/>
          </w:tcPr>
          <w:p w14:paraId="08A1962F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961" w:type="dxa"/>
            <w:shd w:val="clear" w:color="auto" w:fill="FFFFFF"/>
            <w:vAlign w:val="center"/>
          </w:tcPr>
          <w:p w14:paraId="3A0B3A9A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A001</w:t>
            </w:r>
          </w:p>
        </w:tc>
        <w:tc>
          <w:tcPr>
            <w:tcW w:w="2967" w:type="dxa"/>
            <w:shd w:val="clear" w:color="auto" w:fill="FFFFFF"/>
            <w:vAlign w:val="center"/>
          </w:tcPr>
          <w:p w14:paraId="5BD40241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营造做法-台阶工序4：“1.5mm 聚合物水泥 (JS-Ⅱ) 防水涂料”在工序3：“20 厚 1:3 干硬性水泥砂浆结合层，表面撒水泥粉”上施工，考虑到(JS-Ⅱ)的施工前提条件是“干燥、平整、坚固、无浮灰、松散颗粒、油污等”，是否妥当？</w:t>
            </w:r>
          </w:p>
        </w:tc>
        <w:tc>
          <w:tcPr>
            <w:tcW w:w="4131" w:type="dxa"/>
            <w:gridSpan w:val="2"/>
            <w:shd w:val="clear" w:color="auto" w:fill="FFFFFF"/>
            <w:vAlign w:val="center"/>
          </w:tcPr>
          <w:p w14:paraId="6F676F6C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bidi="ar"/>
              </w:rPr>
              <w:t>20 厚 1:3 干硬性水泥砂浆结合层抹平压光即可；</w:t>
            </w:r>
          </w:p>
        </w:tc>
      </w:tr>
      <w:tr w14:paraId="3F1E1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778" w:type="dxa"/>
            <w:shd w:val="clear" w:color="auto" w:fill="FFFFFF"/>
            <w:vAlign w:val="center"/>
          </w:tcPr>
          <w:p w14:paraId="6CA7995D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961" w:type="dxa"/>
            <w:shd w:val="clear" w:color="auto" w:fill="FFFFFF"/>
            <w:vAlign w:val="center"/>
          </w:tcPr>
          <w:p w14:paraId="74B383C9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A001</w:t>
            </w:r>
          </w:p>
        </w:tc>
        <w:tc>
          <w:tcPr>
            <w:tcW w:w="2967" w:type="dxa"/>
            <w:shd w:val="clear" w:color="auto" w:fill="FFFFFF"/>
            <w:vAlign w:val="center"/>
          </w:tcPr>
          <w:p w14:paraId="25D3B1BA"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营造做法-屋面工序9：“10mm地砖面层，水泥勾缝”是否妥当？</w:t>
            </w:r>
          </w:p>
        </w:tc>
        <w:tc>
          <w:tcPr>
            <w:tcW w:w="4131" w:type="dxa"/>
            <w:gridSpan w:val="2"/>
            <w:shd w:val="clear" w:color="auto" w:fill="FFFFFF"/>
            <w:vAlign w:val="center"/>
          </w:tcPr>
          <w:p w14:paraId="45560237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屋面做法参照如下做法执行：</w:t>
            </w:r>
          </w:p>
          <w:p w14:paraId="0F9FC310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1-现状屋面面层拆除至混凝土基层；</w:t>
            </w:r>
          </w:p>
          <w:p w14:paraId="7F0AF06F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2-240mm水泥焦渣找平层,最薄处30mm，向排水沟找坡2%；（清单中已明确原水泥焦渣找平层最大厚度为250Mm,本次调整改为240Mm）</w:t>
            </w:r>
          </w:p>
          <w:p w14:paraId="61B6D84B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3-20mm1:3水泥砂浆；</w:t>
            </w:r>
          </w:p>
          <w:p w14:paraId="3E94ACC2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4-1.5mm聚合物水泥（JS-II）防水涂料；；</w:t>
            </w:r>
          </w:p>
          <w:p w14:paraId="68B45D73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5-1.5+1.5合成高分子自粘防水卷材</w:t>
            </w:r>
          </w:p>
          <w:p w14:paraId="6A71EFD9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6-隔离层（350g沥青卷材）</w:t>
            </w:r>
          </w:p>
          <w:p w14:paraId="300B4754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7-40mmC20细石混凝土</w:t>
            </w:r>
          </w:p>
          <w:p w14:paraId="3BBC1FC8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8-20mm1:3干硬性水泥砂浆结合层</w:t>
            </w:r>
          </w:p>
          <w:p w14:paraId="3B1C1353">
            <w:pPr>
              <w:spacing w:line="240" w:lineRule="auto"/>
              <w:ind w:firstLine="480" w:firstLineChars="20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9-18mm混凝土广场砖面层，水泥勾缝</w:t>
            </w:r>
          </w:p>
        </w:tc>
      </w:tr>
    </w:tbl>
    <w:p w14:paraId="3A8CC933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八、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10mm混凝土地砖面层是不是写错厚度了？</w:t>
      </w:r>
    </w:p>
    <w:p w14:paraId="460F8EAF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61610" cy="2085975"/>
            <wp:effectExtent l="0" t="0" r="1524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7E431">
      <w:pPr>
        <w:spacing w:line="360" w:lineRule="auto"/>
        <w:ind w:firstLine="482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回复：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</w:rPr>
        <w:t>同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第“七”中的第3项回复内容。</w:t>
      </w:r>
    </w:p>
    <w:p w14:paraId="32615962">
      <w:pPr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九、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给的品牌不生产</w:t>
      </w:r>
    </w:p>
    <w:p w14:paraId="5BAED453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68595" cy="648335"/>
            <wp:effectExtent l="0" t="0" r="8255" b="1841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4582E">
      <w:pPr>
        <w:spacing w:line="360" w:lineRule="auto"/>
        <w:ind w:firstLine="464" w:firstLineChars="200"/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en-US" w:bidi="ar-SA"/>
        </w:rPr>
        <w:t>回复：材料名称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改为：“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en-US" w:bidi="ar-SA"/>
        </w:rPr>
        <w:t>混凝土广场砖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”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en-US" w:bidi="ar-SA"/>
        </w:rPr>
        <w:t>，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推荐品牌为爱尔、瑞尔斯达、裕川</w:t>
      </w:r>
      <w:r>
        <w:rPr>
          <w:rFonts w:hint="eastAsia" w:ascii="仿宋" w:hAnsi="仿宋" w:eastAsia="仿宋" w:cs="仿宋"/>
          <w:snapToGrid w:val="0"/>
          <w:color w:val="000000"/>
          <w:spacing w:val="-4"/>
          <w:kern w:val="0"/>
          <w:sz w:val="24"/>
          <w:szCs w:val="24"/>
          <w:lang w:val="en-US" w:eastAsia="en-US" w:bidi="ar-SA"/>
        </w:rPr>
        <w:t>或同等档次。</w:t>
      </w:r>
    </w:p>
    <w:p w14:paraId="0C187A74">
      <w:pPr>
        <w:spacing w:line="360" w:lineRule="auto"/>
        <w:ind w:firstLine="466" w:firstLineChars="200"/>
        <w:rPr>
          <w:rFonts w:hint="default" w:ascii="仿宋" w:hAnsi="仿宋" w:eastAsia="仿宋" w:cs="仿宋"/>
          <w:b/>
          <w:bCs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spacing w:val="-4"/>
          <w:kern w:val="0"/>
          <w:sz w:val="24"/>
          <w:szCs w:val="24"/>
          <w:lang w:val="en-US" w:eastAsia="zh-CN" w:bidi="ar-SA"/>
        </w:rPr>
        <w:t>十、本项目招标控制价变更为：927998元，新版量单及控制价将同步更正附件，请及时登陆南开大学采购招标管理信息平台重新下载。</w:t>
      </w:r>
    </w:p>
    <w:p w14:paraId="2E4EED1C">
      <w:pPr>
        <w:pStyle w:val="2"/>
        <w:spacing w:before="300" w:line="352" w:lineRule="auto"/>
        <w:ind w:left="427" w:right="14" w:firstLine="553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本补充文件是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文件的一部分，与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5"/>
          <w:sz w:val="24"/>
          <w:szCs w:val="24"/>
        </w:rPr>
        <w:t>文件具同等法律效</w:t>
      </w:r>
      <w:r>
        <w:rPr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力。如与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文件要求不一致，以本补充文件为</w:t>
      </w:r>
      <w:r>
        <w:rPr>
          <w:spacing w:val="-5"/>
          <w:sz w:val="24"/>
          <w:szCs w:val="24"/>
        </w:rPr>
        <w:t>准。</w:t>
      </w:r>
      <w:r>
        <w:rPr>
          <w:spacing w:val="-5"/>
          <w:sz w:val="24"/>
          <w:szCs w:val="24"/>
          <w:u w:val="single" w:color="auto"/>
        </w:rPr>
        <w:t>请贵单位将回执页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 w:color="auto"/>
        </w:rPr>
        <w:t>盖章、扫描，回传至代理机构邮箱号：xcsdyygs@126.com</w:t>
      </w:r>
      <w:r>
        <w:rPr>
          <w:spacing w:val="-2"/>
          <w:sz w:val="24"/>
          <w:szCs w:val="24"/>
        </w:rPr>
        <w:t>。</w:t>
      </w:r>
    </w:p>
    <w:p w14:paraId="55296BDF">
      <w:pPr>
        <w:pStyle w:val="2"/>
        <w:spacing w:before="1" w:line="220" w:lineRule="auto"/>
        <w:ind w:left="976"/>
        <w:rPr>
          <w:sz w:val="24"/>
          <w:szCs w:val="24"/>
        </w:rPr>
      </w:pPr>
      <w:r>
        <w:rPr>
          <w:spacing w:val="-6"/>
          <w:sz w:val="24"/>
          <w:szCs w:val="24"/>
        </w:rPr>
        <w:t>谢谢合作！</w:t>
      </w:r>
    </w:p>
    <w:p w14:paraId="1567C536">
      <w:pPr>
        <w:pStyle w:val="2"/>
        <w:spacing w:before="209" w:line="224" w:lineRule="auto"/>
        <w:ind w:left="980"/>
        <w:rPr>
          <w:sz w:val="24"/>
          <w:szCs w:val="24"/>
        </w:rPr>
      </w:pPr>
      <w:r>
        <w:rPr>
          <w:spacing w:val="-5"/>
          <w:sz w:val="24"/>
          <w:szCs w:val="24"/>
        </w:rPr>
        <w:t>项目联系人：高俊、张忠义</w:t>
      </w:r>
    </w:p>
    <w:p w14:paraId="6F809519">
      <w:pPr>
        <w:pStyle w:val="2"/>
        <w:spacing w:before="222" w:line="224" w:lineRule="auto"/>
        <w:ind w:left="1039"/>
        <w:rPr>
          <w:sz w:val="24"/>
          <w:szCs w:val="24"/>
        </w:rPr>
      </w:pPr>
      <w:r>
        <w:rPr>
          <w:spacing w:val="-6"/>
          <w:sz w:val="24"/>
          <w:szCs w:val="24"/>
        </w:rPr>
        <w:t>电话：022-23717450-8011</w:t>
      </w:r>
    </w:p>
    <w:p w14:paraId="481C68DC">
      <w:pPr>
        <w:pStyle w:val="2"/>
        <w:spacing w:before="182" w:line="216" w:lineRule="auto"/>
        <w:ind w:left="1039"/>
        <w:rPr>
          <w:sz w:val="24"/>
          <w:szCs w:val="24"/>
        </w:rPr>
      </w:pPr>
      <w:r>
        <w:rPr>
          <w:spacing w:val="-5"/>
          <w:sz w:val="24"/>
          <w:szCs w:val="24"/>
        </w:rPr>
        <w:t>电子邮箱：xcsdyygs@126.com</w:t>
      </w:r>
    </w:p>
    <w:p w14:paraId="2536509A">
      <w:pPr>
        <w:spacing w:line="298" w:lineRule="auto"/>
        <w:rPr>
          <w:rFonts w:ascii="Arial"/>
          <w:sz w:val="21"/>
        </w:rPr>
      </w:pPr>
    </w:p>
    <w:p w14:paraId="57C67B9D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南开大学招投标管理办公室 </w:t>
      </w:r>
    </w:p>
    <w:p w14:paraId="6C4A02D0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天津信诚盛德工程咨询有限公司</w:t>
      </w:r>
    </w:p>
    <w:p w14:paraId="4354D711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202</w:t>
      </w:r>
      <w:r>
        <w:rPr>
          <w:rFonts w:hint="eastAsia"/>
          <w:spacing w:val="-4"/>
          <w:sz w:val="24"/>
          <w:szCs w:val="24"/>
          <w:lang w:val="en-US" w:eastAsia="zh-CN"/>
        </w:rPr>
        <w:t>6</w:t>
      </w:r>
      <w:r>
        <w:rPr>
          <w:spacing w:val="-4"/>
          <w:sz w:val="24"/>
          <w:szCs w:val="24"/>
        </w:rPr>
        <w:t>年</w:t>
      </w:r>
      <w:r>
        <w:rPr>
          <w:rFonts w:hint="eastAsia"/>
          <w:spacing w:val="-4"/>
          <w:sz w:val="24"/>
          <w:szCs w:val="24"/>
          <w:lang w:val="en-US" w:eastAsia="zh-CN"/>
        </w:rPr>
        <w:t>1</w:t>
      </w:r>
      <w:r>
        <w:rPr>
          <w:spacing w:val="-4"/>
          <w:sz w:val="24"/>
          <w:szCs w:val="24"/>
        </w:rPr>
        <w:t>月</w:t>
      </w:r>
      <w:r>
        <w:rPr>
          <w:rFonts w:hint="eastAsia"/>
          <w:spacing w:val="-4"/>
          <w:sz w:val="24"/>
          <w:szCs w:val="24"/>
          <w:lang w:val="en-US" w:eastAsia="zh-CN"/>
        </w:rPr>
        <w:t>13</w:t>
      </w:r>
      <w:r>
        <w:rPr>
          <w:spacing w:val="-4"/>
          <w:sz w:val="24"/>
          <w:szCs w:val="24"/>
        </w:rPr>
        <w:t>日</w:t>
      </w:r>
    </w:p>
    <w:p w14:paraId="5DA4D4F0">
      <w:pPr>
        <w:spacing w:line="383" w:lineRule="exact"/>
        <w:sectPr>
          <w:footerReference r:id="rId5" w:type="default"/>
          <w:pgSz w:w="11907" w:h="16840"/>
          <w:pgMar w:top="1228" w:right="1224" w:bottom="1145" w:left="865" w:header="0" w:footer="950" w:gutter="0"/>
          <w:cols w:space="720" w:num="1"/>
        </w:sectPr>
      </w:pPr>
    </w:p>
    <w:p w14:paraId="394A32EB">
      <w:pPr>
        <w:pStyle w:val="2"/>
        <w:spacing w:before="199" w:line="227" w:lineRule="auto"/>
        <w:ind w:left="2746"/>
        <w:rPr>
          <w:sz w:val="47"/>
          <w:szCs w:val="47"/>
        </w:rPr>
      </w:pPr>
      <w:r>
        <w:rPr>
          <w:spacing w:val="-8"/>
          <w:sz w:val="47"/>
          <w:szCs w:val="47"/>
        </w:rPr>
        <w:t>更正公告确认回执1</w:t>
      </w:r>
    </w:p>
    <w:p w14:paraId="739E5884">
      <w:pPr>
        <w:spacing w:line="256" w:lineRule="auto"/>
        <w:rPr>
          <w:rFonts w:ascii="Arial"/>
          <w:sz w:val="21"/>
        </w:rPr>
      </w:pPr>
    </w:p>
    <w:p w14:paraId="15D7F188">
      <w:pPr>
        <w:spacing w:line="256" w:lineRule="auto"/>
        <w:rPr>
          <w:rFonts w:ascii="Arial"/>
          <w:sz w:val="21"/>
        </w:rPr>
      </w:pPr>
      <w:r>
        <w:pict>
          <v:shape id="_x0000_s1026" o:spid="_x0000_s1026" style="position:absolute;left:0pt;margin-left:29.05pt;margin-top:0.8pt;height:0.65pt;width:440.25pt;z-index:251659264;mso-width-relative:page;mso-height-relative:page;" filled="f" stroked="t" coordsize="8805,12" path="m0,6l8805,6e">
            <v:fill on="f" focussize="0,0"/>
            <v:stroke weight="0.6pt" color="#000000" miterlimit="2" joinstyle="bevel" dashstyle="dash"/>
            <v:imagedata o:title=""/>
            <o:lock v:ext="edit"/>
          </v:shape>
        </w:pict>
      </w:r>
    </w:p>
    <w:p w14:paraId="2D93E1C0">
      <w:pPr>
        <w:spacing w:line="256" w:lineRule="auto"/>
        <w:rPr>
          <w:rFonts w:ascii="Arial"/>
          <w:sz w:val="21"/>
        </w:rPr>
      </w:pPr>
    </w:p>
    <w:p w14:paraId="6EE32D13">
      <w:pPr>
        <w:spacing w:line="256" w:lineRule="auto"/>
        <w:rPr>
          <w:rFonts w:ascii="Arial"/>
          <w:sz w:val="21"/>
        </w:rPr>
      </w:pPr>
    </w:p>
    <w:p w14:paraId="163DDE93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2714BF68">
      <w:pPr>
        <w:spacing w:line="252" w:lineRule="auto"/>
        <w:rPr>
          <w:rFonts w:ascii="Arial"/>
          <w:sz w:val="21"/>
        </w:rPr>
      </w:pPr>
    </w:p>
    <w:p w14:paraId="79D117F6">
      <w:pPr>
        <w:spacing w:line="252" w:lineRule="auto"/>
        <w:rPr>
          <w:rFonts w:ascii="Arial"/>
          <w:sz w:val="21"/>
        </w:rPr>
      </w:pPr>
    </w:p>
    <w:p w14:paraId="3DF58B2B">
      <w:pPr>
        <w:spacing w:line="253" w:lineRule="auto"/>
        <w:rPr>
          <w:rFonts w:ascii="Arial"/>
          <w:sz w:val="21"/>
        </w:rPr>
      </w:pPr>
    </w:p>
    <w:p w14:paraId="7EF9B8F7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我公司已收到并阅读贵单位发出关于项目编号为NK2025G0</w:t>
      </w:r>
      <w:r>
        <w:rPr>
          <w:rFonts w:hint="eastAsia"/>
          <w:spacing w:val="8"/>
          <w:sz w:val="31"/>
          <w:szCs w:val="31"/>
          <w:lang w:val="en-US" w:eastAsia="zh-CN"/>
        </w:rPr>
        <w:t>36</w:t>
      </w:r>
      <w:r>
        <w:rPr>
          <w:spacing w:val="8"/>
          <w:sz w:val="31"/>
          <w:szCs w:val="31"/>
        </w:rPr>
        <w:t xml:space="preserve"> 的</w:t>
      </w:r>
      <w:r>
        <w:rPr>
          <w:rFonts w:hint="eastAsia"/>
          <w:spacing w:val="8"/>
          <w:sz w:val="31"/>
          <w:szCs w:val="31"/>
        </w:rPr>
        <w:t>南开大学八里台校区综合实验楼部分维修改造工程</w:t>
      </w:r>
      <w:r>
        <w:rPr>
          <w:spacing w:val="8"/>
          <w:sz w:val="31"/>
          <w:szCs w:val="31"/>
        </w:rPr>
        <w:t>更正公告。</w:t>
      </w:r>
    </w:p>
    <w:p w14:paraId="69183C58">
      <w:pPr>
        <w:pStyle w:val="2"/>
        <w:spacing w:before="101" w:line="371" w:lineRule="auto"/>
        <w:ind w:left="14" w:right="447" w:firstLine="631"/>
        <w:rPr>
          <w:sz w:val="31"/>
          <w:szCs w:val="31"/>
        </w:rPr>
      </w:pPr>
      <w:r>
        <w:rPr>
          <w:spacing w:val="8"/>
          <w:sz w:val="31"/>
          <w:szCs w:val="31"/>
        </w:rPr>
        <w:t>我公司已明确知悉更正公告内容、对供应商疑问函的答复等相关事项，在此确认我方在投标中已考虑和包含了更正公告中的要求</w:t>
      </w:r>
      <w:r>
        <w:rPr>
          <w:spacing w:val="7"/>
          <w:sz w:val="31"/>
          <w:szCs w:val="31"/>
        </w:rPr>
        <w:t>。并对于20</w:t>
      </w:r>
      <w:r>
        <w:rPr>
          <w:rFonts w:hint="eastAsia"/>
          <w:spacing w:val="7"/>
          <w:sz w:val="31"/>
          <w:szCs w:val="31"/>
          <w:lang w:val="en-US" w:eastAsia="zh-CN"/>
        </w:rPr>
        <w:t>26</w:t>
      </w:r>
      <w:r>
        <w:rPr>
          <w:spacing w:val="7"/>
          <w:sz w:val="31"/>
          <w:szCs w:val="31"/>
        </w:rPr>
        <w:t>年</w:t>
      </w:r>
      <w:r>
        <w:rPr>
          <w:rFonts w:hint="eastAsia"/>
          <w:spacing w:val="7"/>
          <w:sz w:val="31"/>
          <w:szCs w:val="31"/>
          <w:lang w:val="en-US" w:eastAsia="zh-CN"/>
        </w:rPr>
        <w:t>1</w:t>
      </w:r>
      <w:r>
        <w:rPr>
          <w:spacing w:val="7"/>
          <w:sz w:val="31"/>
          <w:szCs w:val="31"/>
        </w:rPr>
        <w:t>月</w:t>
      </w:r>
      <w:r>
        <w:rPr>
          <w:rFonts w:hint="eastAsia"/>
          <w:spacing w:val="7"/>
          <w:sz w:val="31"/>
          <w:szCs w:val="31"/>
          <w:lang w:val="en-US" w:eastAsia="zh-CN"/>
        </w:rPr>
        <w:t>19</w:t>
      </w:r>
      <w:r>
        <w:rPr>
          <w:spacing w:val="7"/>
          <w:sz w:val="31"/>
          <w:szCs w:val="31"/>
        </w:rPr>
        <w:t>日09时30分（北京时间）开标及更正公告内</w:t>
      </w:r>
      <w:r>
        <w:rPr>
          <w:spacing w:val="2"/>
          <w:sz w:val="31"/>
          <w:szCs w:val="31"/>
        </w:rPr>
        <w:t>容无异议。</w:t>
      </w:r>
    </w:p>
    <w:p w14:paraId="14C52E1E">
      <w:pPr>
        <w:spacing w:line="283" w:lineRule="auto"/>
        <w:rPr>
          <w:rFonts w:ascii="Arial"/>
          <w:sz w:val="21"/>
        </w:rPr>
      </w:pPr>
    </w:p>
    <w:p w14:paraId="2F59805A">
      <w:pPr>
        <w:spacing w:line="283" w:lineRule="auto"/>
        <w:rPr>
          <w:rFonts w:ascii="Arial"/>
          <w:sz w:val="21"/>
        </w:rPr>
      </w:pPr>
    </w:p>
    <w:p w14:paraId="480A1F56">
      <w:pPr>
        <w:spacing w:line="284" w:lineRule="auto"/>
        <w:rPr>
          <w:rFonts w:ascii="Arial"/>
          <w:sz w:val="21"/>
        </w:rPr>
      </w:pPr>
    </w:p>
    <w:p w14:paraId="1455FD93">
      <w:pPr>
        <w:spacing w:line="284" w:lineRule="auto"/>
        <w:rPr>
          <w:rFonts w:ascii="Arial"/>
          <w:sz w:val="21"/>
        </w:rPr>
      </w:pPr>
    </w:p>
    <w:p w14:paraId="634642E3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4E7C7595">
      <w:pPr>
        <w:spacing w:line="253" w:lineRule="auto"/>
        <w:rPr>
          <w:rFonts w:ascii="Arial"/>
          <w:sz w:val="21"/>
        </w:rPr>
      </w:pPr>
    </w:p>
    <w:p w14:paraId="4861A91A">
      <w:pPr>
        <w:spacing w:line="253" w:lineRule="auto"/>
        <w:rPr>
          <w:rFonts w:ascii="Arial"/>
          <w:sz w:val="21"/>
        </w:rPr>
      </w:pPr>
    </w:p>
    <w:p w14:paraId="4E5A375D">
      <w:pPr>
        <w:spacing w:line="253" w:lineRule="auto"/>
        <w:rPr>
          <w:rFonts w:ascii="Arial"/>
          <w:sz w:val="21"/>
        </w:rPr>
      </w:pPr>
    </w:p>
    <w:p w14:paraId="6C95DD6B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sectPr>
      <w:footerReference r:id="rId6" w:type="default"/>
      <w:pgSz w:w="11907" w:h="16840"/>
      <w:pgMar w:top="1431" w:right="1241" w:bottom="1145" w:left="1284" w:header="0" w:footer="95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1DC39">
    <w:pPr>
      <w:spacing w:line="193" w:lineRule="auto"/>
      <w:ind w:left="5042"/>
      <w:rPr>
        <w:rFonts w:ascii="Arial" w:hAnsi="Arial" w:eastAsia="Arial" w:cs="Arial"/>
        <w:sz w:val="20"/>
        <w:szCs w:val="20"/>
      </w:rPr>
    </w:pPr>
    <w:r>
      <w:rPr>
        <w:rFonts w:ascii="Arial" w:hAnsi="Arial" w:eastAsia="Arial" w:cs="Arial"/>
        <w:sz w:val="20"/>
        <w:szCs w:val="20"/>
      </w:rP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EAA2B">
    <w:pPr>
      <w:spacing w:line="193" w:lineRule="auto"/>
      <w:ind w:left="4622"/>
      <w:rPr>
        <w:rFonts w:ascii="Arial" w:hAnsi="Arial" w:eastAsia="Arial" w:cs="Arial"/>
        <w:sz w:val="20"/>
        <w:szCs w:val="20"/>
      </w:rPr>
    </w:pPr>
    <w:r>
      <w:rPr>
        <w:rFonts w:ascii="Arial" w:hAnsi="Arial" w:eastAsia="Arial" w:cs="Arial"/>
        <w:sz w:val="20"/>
        <w:szCs w:val="20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D6F073D"/>
    <w:rsid w:val="51C5332C"/>
    <w:rsid w:val="58535FF8"/>
    <w:rsid w:val="64AF3C60"/>
    <w:rsid w:val="7BFD3A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1313</Words>
  <Characters>1515</Characters>
  <TotalTime>1</TotalTime>
  <ScaleCrop>false</ScaleCrop>
  <LinksUpToDate>false</LinksUpToDate>
  <CharactersWithSpaces>1541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2025-06-17T22:05:00Z</dcterms:created>
  <dc:creator>苏丹</dc:creator>
  <cp:lastModifiedBy>Re.</cp:lastModifiedBy>
  <dcterms:modified xsi:type="dcterms:W3CDTF">2026-01-13T09:56:06Z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2025-09-08T11:37:56Z</vt:filetime>
  </property>
  <property fmtid="{D5CDD505-2E9C-101B-9397-08002B2CF9AE}" pid="4" name="KSOTemplateDocerSaveRecord">
    <vt:lpwstr>eyJoZGlkIjoiYjcwNWE0YTczYjhhMmE4ZGMyMGY5NTVlMzQ4Mzk3ODAiLCJ1c2VySWQiOiIyNTk5MDM5NjAifQ==</vt:lpwstr>
  </property>
  <property fmtid="{D5CDD505-2E9C-101B-9397-08002B2CF9AE}" pid="5" name="KSOProductBuildVer">
    <vt:lpwstr>2052-12.1.0.24034</vt:lpwstr>
  </property>
  <property fmtid="{D5CDD505-2E9C-101B-9397-08002B2CF9AE}" pid="6" name="ICV">
    <vt:lpwstr>F667D1E0AC7E4DB9BD54419D5C00E1E8_12</vt:lpwstr>
  </property>
</Properties>
</file>