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F5CC0">
      <w:pPr>
        <w:pageBreakBefore w:val="0"/>
        <w:widowControl w:val="0"/>
        <w:kinsoku/>
        <w:wordWrap/>
        <w:overflowPunct/>
        <w:topLinePunct w:val="0"/>
        <w:autoSpaceDE/>
        <w:autoSpaceDN/>
        <w:bidi w:val="0"/>
        <w:adjustRightInd w:val="0"/>
        <w:snapToGrid w:val="0"/>
        <w:spacing w:line="360" w:lineRule="auto"/>
        <w:jc w:val="center"/>
        <w:textAlignment w:val="auto"/>
        <w:rPr>
          <w:rFonts w:hint="eastAsia"/>
          <w:b/>
          <w:bCs/>
          <w:sz w:val="32"/>
          <w:szCs w:val="40"/>
          <w:lang w:val="en-US" w:eastAsia="zh-CN"/>
        </w:rPr>
      </w:pPr>
      <w:r>
        <w:rPr>
          <w:rFonts w:hint="eastAsia"/>
          <w:b/>
          <w:bCs/>
          <w:sz w:val="32"/>
          <w:szCs w:val="40"/>
          <w:lang w:val="en-US" w:eastAsia="zh-CN"/>
        </w:rPr>
        <w:t>南开大学化学学院400MHz全数字化超导核磁共振谱仪采购项目（第二次）</w:t>
      </w:r>
    </w:p>
    <w:p w14:paraId="714D2E98">
      <w:pPr>
        <w:pageBreakBefore w:val="0"/>
        <w:widowControl w:val="0"/>
        <w:kinsoku/>
        <w:wordWrap/>
        <w:overflowPunct/>
        <w:topLinePunct w:val="0"/>
        <w:autoSpaceDE/>
        <w:autoSpaceDN/>
        <w:bidi w:val="0"/>
        <w:adjustRightInd w:val="0"/>
        <w:snapToGrid w:val="0"/>
        <w:spacing w:line="360" w:lineRule="auto"/>
        <w:jc w:val="center"/>
        <w:textAlignment w:val="auto"/>
        <w:rPr>
          <w:rFonts w:hint="default"/>
          <w:b/>
          <w:bCs/>
          <w:sz w:val="32"/>
          <w:szCs w:val="40"/>
          <w:lang w:val="en-US" w:eastAsia="zh-CN"/>
        </w:rPr>
      </w:pPr>
      <w:r>
        <w:rPr>
          <w:rFonts w:hint="eastAsia"/>
          <w:b/>
          <w:bCs/>
          <w:sz w:val="32"/>
          <w:szCs w:val="40"/>
          <w:lang w:val="en-US" w:eastAsia="zh-CN"/>
        </w:rPr>
        <w:t>（项目编号：NK2025H188N）更正文件1号</w:t>
      </w:r>
    </w:p>
    <w:p w14:paraId="00C72591">
      <w:pPr>
        <w:pageBreakBefore w:val="0"/>
        <w:widowControl w:val="0"/>
        <w:kinsoku/>
        <w:wordWrap/>
        <w:overflowPunct/>
        <w:topLinePunct w:val="0"/>
        <w:autoSpaceDE/>
        <w:autoSpaceDN/>
        <w:bidi w:val="0"/>
        <w:adjustRightInd w:val="0"/>
        <w:snapToGrid w:val="0"/>
        <w:spacing w:line="360" w:lineRule="auto"/>
        <w:jc w:val="both"/>
        <w:textAlignment w:val="auto"/>
        <w:rPr>
          <w:rFonts w:hint="eastAsia"/>
          <w:b/>
          <w:bCs/>
          <w:sz w:val="32"/>
          <w:szCs w:val="40"/>
          <w:lang w:val="en-US" w:eastAsia="zh-CN"/>
        </w:rPr>
      </w:pPr>
    </w:p>
    <w:p w14:paraId="583487DA">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rPr>
          <w:rFonts w:hint="eastAsia"/>
          <w:b w:val="0"/>
          <w:bCs w:val="0"/>
          <w:sz w:val="24"/>
          <w:szCs w:val="32"/>
          <w:lang w:val="en-US" w:eastAsia="zh-CN"/>
        </w:rPr>
      </w:pPr>
      <w:r>
        <w:rPr>
          <w:rFonts w:hint="eastAsia"/>
          <w:b/>
          <w:bCs/>
          <w:sz w:val="24"/>
          <w:szCs w:val="32"/>
          <w:lang w:val="en-US" w:eastAsia="zh-CN"/>
        </w:rPr>
        <w:t>项目名称：</w:t>
      </w:r>
      <w:r>
        <w:rPr>
          <w:rFonts w:hint="eastAsia"/>
          <w:b w:val="0"/>
          <w:bCs w:val="0"/>
          <w:sz w:val="24"/>
          <w:szCs w:val="32"/>
          <w:lang w:val="en-US" w:eastAsia="zh-CN"/>
        </w:rPr>
        <w:t>南开大学化学学院400MHz全数字化超导核磁共振谱仪采购项目（第二次）</w:t>
      </w:r>
    </w:p>
    <w:p w14:paraId="1385063B">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rPr>
          <w:rFonts w:hint="eastAsia"/>
          <w:b/>
          <w:bCs/>
          <w:sz w:val="24"/>
          <w:szCs w:val="32"/>
          <w:lang w:val="en-US" w:eastAsia="zh-CN"/>
        </w:rPr>
      </w:pPr>
      <w:r>
        <w:rPr>
          <w:rFonts w:hint="eastAsia"/>
          <w:b/>
          <w:bCs/>
          <w:sz w:val="24"/>
          <w:szCs w:val="32"/>
          <w:lang w:val="en-US" w:eastAsia="zh-CN"/>
        </w:rPr>
        <w:t>项目编号：</w:t>
      </w:r>
      <w:r>
        <w:rPr>
          <w:rFonts w:hint="eastAsia"/>
          <w:b w:val="0"/>
          <w:bCs w:val="0"/>
          <w:sz w:val="24"/>
          <w:szCs w:val="32"/>
          <w:lang w:val="en-US" w:eastAsia="zh-CN"/>
        </w:rPr>
        <w:t>NK2025H188N</w:t>
      </w:r>
    </w:p>
    <w:p w14:paraId="3123E53B">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outlineLvl w:val="0"/>
        <w:rPr>
          <w:rFonts w:hint="eastAsia"/>
          <w:b/>
          <w:bCs/>
          <w:sz w:val="24"/>
          <w:szCs w:val="32"/>
          <w:lang w:val="en-US" w:eastAsia="zh-CN"/>
        </w:rPr>
      </w:pPr>
      <w:bookmarkStart w:id="0" w:name="_Toc21228"/>
      <w:bookmarkStart w:id="1" w:name="_Toc21995"/>
      <w:bookmarkStart w:id="2" w:name="_Toc15705"/>
      <w:bookmarkStart w:id="3" w:name="_Toc2779"/>
      <w:bookmarkStart w:id="4" w:name="_Toc3312"/>
      <w:bookmarkStart w:id="5" w:name="_Toc29337"/>
      <w:bookmarkStart w:id="6" w:name="_Toc7881"/>
      <w:bookmarkStart w:id="7" w:name="_Toc26993"/>
      <w:bookmarkStart w:id="8" w:name="_Toc15539"/>
      <w:bookmarkStart w:id="9" w:name="_Toc25099"/>
      <w:bookmarkStart w:id="10" w:name="_Toc2927"/>
      <w:bookmarkStart w:id="11" w:name="_Toc3129"/>
      <w:bookmarkStart w:id="12" w:name="_Toc32457"/>
      <w:bookmarkStart w:id="13" w:name="_Toc5205"/>
      <w:bookmarkStart w:id="14" w:name="_Toc15303"/>
      <w:bookmarkStart w:id="15" w:name="_Toc28109"/>
      <w:bookmarkStart w:id="16" w:name="_Toc8149"/>
      <w:bookmarkStart w:id="17" w:name="_Toc26415"/>
      <w:r>
        <w:rPr>
          <w:rFonts w:hint="eastAsia"/>
          <w:b/>
          <w:bCs/>
          <w:sz w:val="24"/>
          <w:szCs w:val="32"/>
          <w:lang w:val="en-US" w:eastAsia="zh-CN"/>
        </w:rPr>
        <w:t>对招标文件以下内容进行更正：</w:t>
      </w:r>
    </w:p>
    <w:p w14:paraId="42C55B06">
      <w:pPr>
        <w:pageBreakBefore w:val="0"/>
        <w:widowControl w:val="0"/>
        <w:numPr>
          <w:numId w:val="0"/>
        </w:numPr>
        <w:kinsoku/>
        <w:wordWrap/>
        <w:overflowPunct/>
        <w:topLinePunct w:val="0"/>
        <w:autoSpaceDE/>
        <w:autoSpaceDN/>
        <w:bidi w:val="0"/>
        <w:adjustRightInd w:val="0"/>
        <w:snapToGrid w:val="0"/>
        <w:spacing w:line="360" w:lineRule="auto"/>
        <w:ind w:left="420" w:leftChars="0" w:firstLine="482" w:firstLineChars="200"/>
        <w:jc w:val="both"/>
        <w:textAlignment w:val="auto"/>
        <w:outlineLvl w:val="0"/>
        <w:rPr>
          <w:rFonts w:hint="eastAsia"/>
          <w:b w:val="0"/>
          <w:bCs w:val="0"/>
          <w:sz w:val="24"/>
          <w:szCs w:val="32"/>
          <w:lang w:val="en-US" w:eastAsia="zh-CN"/>
        </w:rPr>
      </w:pPr>
      <w:r>
        <w:rPr>
          <w:rFonts w:hint="eastAsia"/>
          <w:b/>
          <w:bCs/>
          <w:sz w:val="24"/>
          <w:szCs w:val="32"/>
          <w:lang w:val="en-US" w:eastAsia="zh-CN"/>
        </w:rPr>
        <w:t>1.原招标文件第二章  供应商须知</w:t>
      </w:r>
      <w:bookmarkEnd w:id="0"/>
      <w:bookmarkEnd w:id="1"/>
      <w:bookmarkEnd w:id="2"/>
      <w:bookmarkEnd w:id="3"/>
      <w:bookmarkEnd w:id="4"/>
      <w:bookmarkEnd w:id="5"/>
      <w:bookmarkEnd w:id="6"/>
      <w:bookmarkEnd w:id="7"/>
      <w:bookmarkEnd w:id="8"/>
      <w:r>
        <w:rPr>
          <w:rFonts w:hint="eastAsia"/>
          <w:b/>
          <w:bCs/>
          <w:sz w:val="24"/>
          <w:szCs w:val="32"/>
          <w:lang w:val="en-US" w:eastAsia="zh-CN"/>
        </w:rPr>
        <w:t>二、</w:t>
      </w:r>
      <w:bookmarkEnd w:id="9"/>
      <w:bookmarkEnd w:id="10"/>
      <w:bookmarkEnd w:id="11"/>
      <w:bookmarkEnd w:id="12"/>
      <w:bookmarkEnd w:id="13"/>
      <w:bookmarkEnd w:id="14"/>
      <w:bookmarkEnd w:id="15"/>
      <w:bookmarkEnd w:id="16"/>
      <w:r>
        <w:rPr>
          <w:rFonts w:hint="eastAsia"/>
          <w:b/>
          <w:bCs/>
          <w:sz w:val="24"/>
          <w:szCs w:val="32"/>
          <w:lang w:val="en-US" w:eastAsia="zh-CN"/>
        </w:rPr>
        <w:t>供应商须知</w:t>
      </w:r>
      <w:bookmarkEnd w:id="17"/>
      <w:r>
        <w:rPr>
          <w:rFonts w:hint="eastAsia"/>
          <w:b/>
          <w:bCs/>
          <w:sz w:val="24"/>
          <w:szCs w:val="32"/>
          <w:lang w:val="en-US" w:eastAsia="zh-CN"/>
        </w:rPr>
        <w:t>（五）磋商3.资格审查中的</w:t>
      </w:r>
      <w:r>
        <w:rPr>
          <w:rFonts w:hint="eastAsia"/>
          <w:b w:val="0"/>
          <w:bCs w:val="0"/>
          <w:sz w:val="24"/>
          <w:szCs w:val="32"/>
          <w:lang w:val="en-US" w:eastAsia="zh-CN"/>
        </w:rPr>
        <w:t>“（2）通过资格审查的供应商不足3家的，采购人或者采购代理机构应当终止竞争性磋商采购活动，发布项目终止公告并说明原因，重新开展采购活动。”</w:t>
      </w:r>
    </w:p>
    <w:p w14:paraId="62A7975E">
      <w:pPr>
        <w:pageBreakBefore w:val="0"/>
        <w:widowControl w:val="0"/>
        <w:numPr>
          <w:numId w:val="0"/>
        </w:numPr>
        <w:kinsoku/>
        <w:wordWrap/>
        <w:overflowPunct/>
        <w:topLinePunct w:val="0"/>
        <w:autoSpaceDE/>
        <w:autoSpaceDN/>
        <w:bidi w:val="0"/>
        <w:adjustRightInd w:val="0"/>
        <w:snapToGrid w:val="0"/>
        <w:spacing w:line="360" w:lineRule="auto"/>
        <w:ind w:left="420" w:leftChars="0" w:firstLine="482" w:firstLineChars="200"/>
        <w:jc w:val="both"/>
        <w:textAlignment w:val="auto"/>
        <w:outlineLvl w:val="0"/>
        <w:rPr>
          <w:rFonts w:hint="default"/>
          <w:b w:val="0"/>
          <w:bCs w:val="0"/>
          <w:sz w:val="24"/>
          <w:szCs w:val="32"/>
          <w:lang w:val="en-US" w:eastAsia="zh-CN"/>
        </w:rPr>
      </w:pPr>
      <w:r>
        <w:rPr>
          <w:rFonts w:hint="eastAsia"/>
          <w:b/>
          <w:bCs/>
          <w:sz w:val="24"/>
          <w:szCs w:val="32"/>
          <w:lang w:val="en-US" w:eastAsia="zh-CN"/>
        </w:rPr>
        <w:t>现更正为：</w:t>
      </w:r>
      <w:r>
        <w:rPr>
          <w:rFonts w:hint="eastAsia"/>
          <w:b w:val="0"/>
          <w:bCs w:val="0"/>
          <w:sz w:val="24"/>
          <w:szCs w:val="32"/>
          <w:lang w:val="en-US" w:eastAsia="zh-CN"/>
        </w:rPr>
        <w:t>“（2）通过资格审查的供应商</w:t>
      </w:r>
      <w:r>
        <w:rPr>
          <w:rFonts w:hint="eastAsia"/>
          <w:b w:val="0"/>
          <w:bCs w:val="0"/>
          <w:sz w:val="24"/>
          <w:szCs w:val="32"/>
          <w:highlight w:val="yellow"/>
          <w:lang w:val="en-US" w:eastAsia="zh-CN"/>
        </w:rPr>
        <w:t>不足法定数量</w:t>
      </w:r>
      <w:r>
        <w:rPr>
          <w:rFonts w:hint="eastAsia"/>
          <w:b w:val="0"/>
          <w:bCs w:val="0"/>
          <w:sz w:val="24"/>
          <w:szCs w:val="32"/>
          <w:lang w:val="en-US" w:eastAsia="zh-CN"/>
        </w:rPr>
        <w:t>的，采购人或者采购代理机构应当终止竞争性磋商采购活动，发布项目终止公告并说明原因，重新开展采购活动。”</w:t>
      </w:r>
    </w:p>
    <w:p w14:paraId="1EDC7B45">
      <w:pPr>
        <w:pageBreakBefore w:val="0"/>
        <w:widowControl w:val="0"/>
        <w:numPr>
          <w:numId w:val="0"/>
        </w:numPr>
        <w:kinsoku/>
        <w:wordWrap/>
        <w:overflowPunct/>
        <w:topLinePunct w:val="0"/>
        <w:autoSpaceDE/>
        <w:autoSpaceDN/>
        <w:bidi w:val="0"/>
        <w:adjustRightInd w:val="0"/>
        <w:snapToGrid w:val="0"/>
        <w:spacing w:line="360" w:lineRule="auto"/>
        <w:ind w:left="420" w:leftChars="0" w:firstLine="482" w:firstLineChars="200"/>
        <w:jc w:val="both"/>
        <w:textAlignment w:val="auto"/>
        <w:outlineLvl w:val="0"/>
        <w:rPr>
          <w:rFonts w:hint="eastAsia"/>
          <w:b w:val="0"/>
          <w:bCs w:val="0"/>
          <w:sz w:val="24"/>
          <w:szCs w:val="32"/>
          <w:lang w:val="en-US" w:eastAsia="zh-CN"/>
        </w:rPr>
      </w:pPr>
      <w:r>
        <w:rPr>
          <w:rFonts w:hint="eastAsia"/>
          <w:b/>
          <w:bCs/>
          <w:sz w:val="24"/>
          <w:szCs w:val="32"/>
          <w:lang w:val="en-US" w:eastAsia="zh-CN"/>
        </w:rPr>
        <w:t>2.原招标文件第二章  供应商须知二、供应商须知（五）磋商6.磋商程序（详见第四章 评审方法和标准）中的</w:t>
      </w:r>
      <w:r>
        <w:rPr>
          <w:rFonts w:hint="eastAsia"/>
          <w:b w:val="0"/>
          <w:bCs w:val="0"/>
          <w:sz w:val="24"/>
          <w:szCs w:val="32"/>
          <w:lang w:val="en-US" w:eastAsia="zh-CN"/>
        </w:rPr>
        <w:t>“第四步：经磋商确定最终采购需求和提交最后报价的供应商后，由磋商小组采用综合评分法对提交最后报价的供应商的响应文件和最后报价进行综合评分。提交最后报价的供应商不得少于3家。具体评审原则、方法详见磋商文件第四章“评审方法和标准”。”</w:t>
      </w:r>
    </w:p>
    <w:p w14:paraId="3A739678">
      <w:pPr>
        <w:pageBreakBefore w:val="0"/>
        <w:widowControl w:val="0"/>
        <w:numPr>
          <w:numId w:val="0"/>
        </w:numPr>
        <w:kinsoku/>
        <w:wordWrap/>
        <w:overflowPunct/>
        <w:topLinePunct w:val="0"/>
        <w:autoSpaceDE/>
        <w:autoSpaceDN/>
        <w:bidi w:val="0"/>
        <w:adjustRightInd w:val="0"/>
        <w:snapToGrid w:val="0"/>
        <w:spacing w:line="360" w:lineRule="auto"/>
        <w:ind w:left="420" w:leftChars="0" w:firstLine="482" w:firstLineChars="200"/>
        <w:jc w:val="both"/>
        <w:textAlignment w:val="auto"/>
        <w:outlineLvl w:val="0"/>
        <w:rPr>
          <w:rFonts w:hint="default"/>
          <w:b w:val="0"/>
          <w:bCs w:val="0"/>
          <w:sz w:val="24"/>
          <w:szCs w:val="32"/>
          <w:lang w:val="en-US" w:eastAsia="zh-CN"/>
        </w:rPr>
      </w:pPr>
      <w:r>
        <w:rPr>
          <w:rFonts w:hint="eastAsia"/>
          <w:b/>
          <w:bCs/>
          <w:sz w:val="24"/>
          <w:szCs w:val="32"/>
          <w:lang w:val="en-US" w:eastAsia="zh-CN"/>
        </w:rPr>
        <w:t>现更正为：</w:t>
      </w:r>
      <w:r>
        <w:rPr>
          <w:rFonts w:hint="eastAsia"/>
          <w:b w:val="0"/>
          <w:bCs w:val="0"/>
          <w:sz w:val="24"/>
          <w:szCs w:val="32"/>
          <w:lang w:val="en-US" w:eastAsia="zh-CN"/>
        </w:rPr>
        <w:t>“第四步：经磋商确定最终采购需求和提交最后报价的供应商后，由磋商小组采用综合评分法对提交最后报价的供应商的响应文件和最后报价进行综合评分。提交最后报价的供应商</w:t>
      </w:r>
      <w:r>
        <w:rPr>
          <w:rFonts w:hint="eastAsia"/>
          <w:b w:val="0"/>
          <w:bCs w:val="0"/>
          <w:sz w:val="24"/>
          <w:szCs w:val="32"/>
          <w:highlight w:val="yellow"/>
          <w:lang w:val="en-US" w:eastAsia="zh-CN"/>
        </w:rPr>
        <w:t>不得少于法定数量</w:t>
      </w:r>
      <w:r>
        <w:rPr>
          <w:rFonts w:hint="eastAsia"/>
          <w:b w:val="0"/>
          <w:bCs w:val="0"/>
          <w:sz w:val="24"/>
          <w:szCs w:val="32"/>
          <w:lang w:val="en-US" w:eastAsia="zh-CN"/>
        </w:rPr>
        <w:t>。具体评审原则、方法详见磋商文件第四章“评审方法和标准”。”</w:t>
      </w:r>
    </w:p>
    <w:p w14:paraId="05DEA028">
      <w:pPr>
        <w:pageBreakBefore w:val="0"/>
        <w:widowControl w:val="0"/>
        <w:numPr>
          <w:ilvl w:val="0"/>
          <w:numId w:val="2"/>
        </w:numPr>
        <w:kinsoku/>
        <w:wordWrap/>
        <w:overflowPunct/>
        <w:topLinePunct w:val="0"/>
        <w:autoSpaceDE/>
        <w:autoSpaceDN/>
        <w:bidi w:val="0"/>
        <w:adjustRightInd w:val="0"/>
        <w:snapToGrid w:val="0"/>
        <w:spacing w:line="360" w:lineRule="auto"/>
        <w:ind w:left="420" w:leftChars="0" w:firstLine="482" w:firstLineChars="200"/>
        <w:jc w:val="both"/>
        <w:textAlignment w:val="auto"/>
        <w:outlineLvl w:val="0"/>
        <w:rPr>
          <w:rFonts w:hint="eastAsia"/>
          <w:b w:val="0"/>
          <w:bCs w:val="0"/>
          <w:sz w:val="24"/>
          <w:szCs w:val="32"/>
          <w:lang w:val="en-US" w:eastAsia="zh-CN"/>
        </w:rPr>
      </w:pPr>
      <w:r>
        <w:rPr>
          <w:rFonts w:hint="default"/>
          <w:b/>
          <w:bCs/>
          <w:sz w:val="24"/>
          <w:szCs w:val="32"/>
          <w:lang w:val="en-US" w:eastAsia="zh-CN"/>
        </w:rPr>
        <w:t>原招标文件第二章  供应商须知二、供应商须知（五）磋商9.采购项目终止中的</w:t>
      </w:r>
      <w:r>
        <w:rPr>
          <w:rFonts w:hint="eastAsia"/>
          <w:b w:val="0"/>
          <w:bCs w:val="0"/>
          <w:sz w:val="24"/>
          <w:szCs w:val="32"/>
          <w:lang w:val="en-US" w:eastAsia="zh-CN"/>
        </w:rPr>
        <w:t>“（3）除《政府采购竞争性磋商采购方式管理暂行办法》第二十一条第三款规定的情形外，在采购过程中符合要求的供应商或者报价未超过采购预算的供应商不足3家的。”</w:t>
      </w:r>
    </w:p>
    <w:p w14:paraId="263D0D62">
      <w:pPr>
        <w:pageBreakBefore w:val="0"/>
        <w:widowControl w:val="0"/>
        <w:numPr>
          <w:numId w:val="0"/>
        </w:numPr>
        <w:kinsoku/>
        <w:wordWrap/>
        <w:overflowPunct/>
        <w:topLinePunct w:val="0"/>
        <w:autoSpaceDE/>
        <w:autoSpaceDN/>
        <w:bidi w:val="0"/>
        <w:adjustRightInd w:val="0"/>
        <w:snapToGrid w:val="0"/>
        <w:spacing w:line="360" w:lineRule="auto"/>
        <w:ind w:firstLine="482" w:firstLineChars="200"/>
        <w:jc w:val="both"/>
        <w:textAlignment w:val="auto"/>
        <w:outlineLvl w:val="0"/>
        <w:rPr>
          <w:rFonts w:hint="default"/>
          <w:b/>
          <w:bCs/>
          <w:sz w:val="24"/>
          <w:szCs w:val="32"/>
          <w:lang w:val="en-US" w:eastAsia="zh-CN"/>
        </w:rPr>
      </w:pPr>
      <w:r>
        <w:rPr>
          <w:rFonts w:hint="eastAsia"/>
          <w:b/>
          <w:bCs/>
          <w:sz w:val="24"/>
          <w:szCs w:val="32"/>
          <w:lang w:val="en-US" w:eastAsia="zh-CN"/>
        </w:rPr>
        <w:t>现更正为：</w:t>
      </w:r>
      <w:r>
        <w:rPr>
          <w:rFonts w:hint="eastAsia"/>
          <w:b w:val="0"/>
          <w:bCs w:val="0"/>
          <w:sz w:val="24"/>
          <w:szCs w:val="32"/>
          <w:lang w:val="en-US" w:eastAsia="zh-CN"/>
        </w:rPr>
        <w:t>“（3）除《政府采购竞争性磋商采购方式管理暂行办法》第二十一条第三款规定的情形外，在采购过程中符合要求的供应商或者报价未超过采购预算的供应商</w:t>
      </w:r>
      <w:r>
        <w:rPr>
          <w:rFonts w:hint="eastAsia"/>
          <w:b w:val="0"/>
          <w:bCs w:val="0"/>
          <w:sz w:val="24"/>
          <w:szCs w:val="32"/>
          <w:highlight w:val="yellow"/>
          <w:lang w:val="en-US" w:eastAsia="zh-CN"/>
        </w:rPr>
        <w:t>不足法定数量</w:t>
      </w:r>
      <w:r>
        <w:rPr>
          <w:rFonts w:hint="eastAsia"/>
          <w:b w:val="0"/>
          <w:bCs w:val="0"/>
          <w:sz w:val="24"/>
          <w:szCs w:val="32"/>
          <w:lang w:val="en-US" w:eastAsia="zh-CN"/>
        </w:rPr>
        <w:t>的。”</w:t>
      </w:r>
    </w:p>
    <w:p w14:paraId="78AEDD47">
      <w:pPr>
        <w:pageBreakBefore w:val="0"/>
        <w:widowControl w:val="0"/>
        <w:numPr>
          <w:numId w:val="0"/>
        </w:numPr>
        <w:kinsoku/>
        <w:wordWrap/>
        <w:overflowPunct/>
        <w:topLinePunct w:val="0"/>
        <w:autoSpaceDE/>
        <w:autoSpaceDN/>
        <w:bidi w:val="0"/>
        <w:adjustRightInd w:val="0"/>
        <w:snapToGrid w:val="0"/>
        <w:spacing w:line="360" w:lineRule="auto"/>
        <w:ind w:firstLine="482" w:firstLineChars="200"/>
        <w:jc w:val="both"/>
        <w:textAlignment w:val="auto"/>
        <w:outlineLvl w:val="0"/>
        <w:rPr>
          <w:rFonts w:hint="eastAsia"/>
          <w:b w:val="0"/>
          <w:bCs w:val="0"/>
          <w:sz w:val="24"/>
          <w:szCs w:val="32"/>
          <w:lang w:val="en-US" w:eastAsia="zh-CN"/>
        </w:rPr>
      </w:pPr>
      <w:r>
        <w:rPr>
          <w:rFonts w:hint="eastAsia"/>
          <w:b/>
          <w:bCs/>
          <w:sz w:val="24"/>
          <w:szCs w:val="32"/>
          <w:lang w:val="en-US" w:eastAsia="zh-CN"/>
        </w:rPr>
        <w:t>4.原招标文件</w:t>
      </w:r>
      <w:bookmarkStart w:id="18" w:name="_Toc6361"/>
      <w:bookmarkStart w:id="19" w:name="_Toc640"/>
      <w:bookmarkStart w:id="20" w:name="_Toc9363"/>
      <w:bookmarkStart w:id="21" w:name="_Toc31740"/>
      <w:bookmarkStart w:id="22" w:name="_Toc162336376"/>
      <w:bookmarkStart w:id="23" w:name="_Toc17011"/>
      <w:bookmarkStart w:id="24" w:name="_Toc3533"/>
      <w:bookmarkStart w:id="25" w:name="_Toc162335192"/>
      <w:bookmarkStart w:id="26" w:name="_Toc18990"/>
      <w:bookmarkStart w:id="27" w:name="_Toc31412"/>
      <w:bookmarkStart w:id="28" w:name="_Toc1990"/>
      <w:bookmarkStart w:id="29" w:name="_Toc12207"/>
      <w:r>
        <w:rPr>
          <w:rFonts w:hint="eastAsia"/>
          <w:b/>
          <w:bCs/>
          <w:sz w:val="24"/>
          <w:szCs w:val="32"/>
          <w:lang w:val="en-US" w:eastAsia="zh-CN"/>
        </w:rPr>
        <w:t>第四章  评审方法</w:t>
      </w:r>
      <w:bookmarkEnd w:id="18"/>
      <w:r>
        <w:rPr>
          <w:rFonts w:hint="eastAsia"/>
          <w:b/>
          <w:bCs/>
          <w:sz w:val="24"/>
          <w:szCs w:val="32"/>
          <w:lang w:val="en-US" w:eastAsia="zh-CN"/>
        </w:rPr>
        <w:t>和标准</w:t>
      </w:r>
      <w:bookmarkEnd w:id="19"/>
      <w:bookmarkEnd w:id="20"/>
      <w:bookmarkEnd w:id="21"/>
      <w:bookmarkEnd w:id="22"/>
      <w:bookmarkEnd w:id="23"/>
      <w:bookmarkEnd w:id="24"/>
      <w:bookmarkEnd w:id="25"/>
      <w:bookmarkEnd w:id="26"/>
      <w:bookmarkEnd w:id="27"/>
      <w:bookmarkEnd w:id="28"/>
      <w:bookmarkEnd w:id="29"/>
      <w:bookmarkStart w:id="30" w:name="_Toc30847"/>
      <w:bookmarkStart w:id="31" w:name="_Toc1864"/>
      <w:bookmarkStart w:id="32" w:name="_Toc19011"/>
      <w:bookmarkStart w:id="33" w:name="_Toc21803"/>
      <w:bookmarkStart w:id="34" w:name="_Toc6206"/>
      <w:bookmarkStart w:id="35" w:name="_Toc31678"/>
      <w:bookmarkStart w:id="36" w:name="_Toc30837"/>
      <w:bookmarkStart w:id="37" w:name="_Toc32631"/>
      <w:bookmarkStart w:id="38" w:name="_Toc18572"/>
      <w:r>
        <w:rPr>
          <w:rFonts w:hint="eastAsia"/>
          <w:b/>
          <w:bCs/>
          <w:sz w:val="24"/>
          <w:szCs w:val="32"/>
          <w:lang w:val="en-US" w:eastAsia="zh-CN"/>
        </w:rPr>
        <w:t>二、</w:t>
      </w:r>
      <w:bookmarkEnd w:id="30"/>
      <w:bookmarkEnd w:id="31"/>
      <w:bookmarkEnd w:id="32"/>
      <w:bookmarkEnd w:id="33"/>
      <w:bookmarkEnd w:id="34"/>
      <w:bookmarkEnd w:id="35"/>
      <w:bookmarkEnd w:id="36"/>
      <w:bookmarkEnd w:id="37"/>
      <w:r>
        <w:rPr>
          <w:rFonts w:hint="eastAsia"/>
          <w:b/>
          <w:bCs/>
          <w:sz w:val="24"/>
          <w:szCs w:val="32"/>
          <w:lang w:val="en-US" w:eastAsia="zh-CN"/>
        </w:rPr>
        <w:t>评审步骤</w:t>
      </w:r>
      <w:bookmarkEnd w:id="38"/>
      <w:r>
        <w:rPr>
          <w:rFonts w:hint="eastAsia"/>
          <w:b/>
          <w:bCs/>
          <w:sz w:val="24"/>
          <w:szCs w:val="32"/>
          <w:lang w:val="en-US" w:eastAsia="zh-CN"/>
        </w:rPr>
        <w:t>3.详细评审中的</w:t>
      </w:r>
      <w:r>
        <w:rPr>
          <w:rFonts w:hint="eastAsia"/>
          <w:b w:val="0"/>
          <w:bCs w:val="0"/>
          <w:sz w:val="24"/>
          <w:szCs w:val="32"/>
          <w:lang w:val="en-US" w:eastAsia="zh-CN"/>
        </w:rPr>
        <w:t>“3.3经磋商确定最终采购需求和提交最后报价的供应商后，由磋商小组采用综合评分法对提交最后报价的供应商的响应文件和最后报价进行综合评分。提交最后报价的供应商不得少于3家。”</w:t>
      </w:r>
    </w:p>
    <w:p w14:paraId="2AA51B33">
      <w:pPr>
        <w:pageBreakBefore w:val="0"/>
        <w:widowControl w:val="0"/>
        <w:numPr>
          <w:numId w:val="0"/>
        </w:numPr>
        <w:kinsoku/>
        <w:wordWrap/>
        <w:overflowPunct/>
        <w:topLinePunct w:val="0"/>
        <w:autoSpaceDE/>
        <w:autoSpaceDN/>
        <w:bidi w:val="0"/>
        <w:adjustRightInd w:val="0"/>
        <w:snapToGrid w:val="0"/>
        <w:spacing w:line="360" w:lineRule="auto"/>
        <w:ind w:firstLine="482" w:firstLineChars="200"/>
        <w:jc w:val="both"/>
        <w:textAlignment w:val="auto"/>
        <w:outlineLvl w:val="0"/>
        <w:rPr>
          <w:rFonts w:hint="default"/>
          <w:b w:val="0"/>
          <w:bCs w:val="0"/>
          <w:sz w:val="24"/>
          <w:szCs w:val="32"/>
          <w:lang w:val="en-US" w:eastAsia="zh-CN"/>
        </w:rPr>
      </w:pPr>
      <w:r>
        <w:rPr>
          <w:rFonts w:hint="eastAsia"/>
          <w:b/>
          <w:bCs/>
          <w:sz w:val="24"/>
          <w:szCs w:val="32"/>
          <w:lang w:val="en-US" w:eastAsia="zh-CN"/>
        </w:rPr>
        <w:t>现更正为：</w:t>
      </w:r>
      <w:r>
        <w:rPr>
          <w:rFonts w:hint="eastAsia"/>
          <w:b w:val="0"/>
          <w:bCs w:val="0"/>
          <w:sz w:val="24"/>
          <w:szCs w:val="32"/>
          <w:lang w:val="en-US" w:eastAsia="zh-CN"/>
        </w:rPr>
        <w:t>“3.3经磋商确定最终采购需求和提交最后报价的供应商后，由磋商小组采用综合评分法对提交最后报价的供应商的响应文件和最后报价进行综合评分。提交最后报价的供应商不得少于法定数量。”</w:t>
      </w:r>
    </w:p>
    <w:p w14:paraId="400FD675">
      <w:pPr>
        <w:pageBreakBefore w:val="0"/>
        <w:widowControl w:val="0"/>
        <w:numPr>
          <w:numId w:val="0"/>
        </w:numPr>
        <w:kinsoku/>
        <w:wordWrap/>
        <w:overflowPunct/>
        <w:topLinePunct w:val="0"/>
        <w:autoSpaceDE/>
        <w:autoSpaceDN/>
        <w:bidi w:val="0"/>
        <w:adjustRightInd w:val="0"/>
        <w:snapToGrid w:val="0"/>
        <w:spacing w:line="360" w:lineRule="auto"/>
        <w:ind w:firstLine="482" w:firstLineChars="200"/>
        <w:jc w:val="both"/>
        <w:textAlignment w:val="auto"/>
        <w:outlineLvl w:val="0"/>
        <w:rPr>
          <w:rFonts w:hint="eastAsia"/>
          <w:b/>
          <w:bCs/>
          <w:sz w:val="24"/>
          <w:szCs w:val="32"/>
          <w:lang w:val="en-US" w:eastAsia="zh-CN"/>
        </w:rPr>
      </w:pPr>
      <w:r>
        <w:rPr>
          <w:rFonts w:hint="eastAsia"/>
          <w:b/>
          <w:bCs/>
          <w:sz w:val="24"/>
          <w:szCs w:val="32"/>
          <w:lang w:val="en-US" w:eastAsia="zh-CN"/>
        </w:rPr>
        <w:t>5.第二章  供应商须知二、供应商须知（四）响应文件的递交2.响应文件的递交中的</w:t>
      </w:r>
      <w:r>
        <w:rPr>
          <w:rFonts w:hint="eastAsia"/>
          <w:b w:val="0"/>
          <w:bCs w:val="0"/>
          <w:sz w:val="24"/>
          <w:szCs w:val="32"/>
          <w:lang w:val="en-US" w:eastAsia="zh-CN"/>
        </w:rPr>
        <w:t>“（3）提交响应文件截止时间之后，已递交的响应文件不予退还（递交响应文件不足三家的除外）。”</w:t>
      </w:r>
    </w:p>
    <w:p w14:paraId="16AE497A">
      <w:pPr>
        <w:pageBreakBefore w:val="0"/>
        <w:widowControl w:val="0"/>
        <w:numPr>
          <w:numId w:val="0"/>
        </w:numPr>
        <w:kinsoku/>
        <w:wordWrap/>
        <w:overflowPunct/>
        <w:topLinePunct w:val="0"/>
        <w:autoSpaceDE/>
        <w:autoSpaceDN/>
        <w:bidi w:val="0"/>
        <w:adjustRightInd w:val="0"/>
        <w:snapToGrid w:val="0"/>
        <w:spacing w:line="360" w:lineRule="auto"/>
        <w:ind w:firstLine="482" w:firstLineChars="200"/>
        <w:jc w:val="both"/>
        <w:textAlignment w:val="auto"/>
        <w:outlineLvl w:val="0"/>
        <w:rPr>
          <w:rFonts w:hint="eastAsia"/>
          <w:b w:val="0"/>
          <w:bCs w:val="0"/>
          <w:sz w:val="24"/>
          <w:szCs w:val="32"/>
          <w:lang w:val="en-US" w:eastAsia="zh-CN"/>
        </w:rPr>
      </w:pPr>
      <w:r>
        <w:rPr>
          <w:rFonts w:hint="eastAsia"/>
          <w:b/>
          <w:bCs/>
          <w:sz w:val="24"/>
          <w:szCs w:val="32"/>
          <w:lang w:val="en-US" w:eastAsia="zh-CN"/>
        </w:rPr>
        <w:t>现更正为：</w:t>
      </w:r>
      <w:r>
        <w:rPr>
          <w:rFonts w:hint="eastAsia"/>
          <w:b w:val="0"/>
          <w:bCs w:val="0"/>
          <w:sz w:val="24"/>
          <w:szCs w:val="32"/>
          <w:lang w:val="en-US" w:eastAsia="zh-CN"/>
        </w:rPr>
        <w:t>“（3）提交响应文件截止时间之后，已递交的响应文件不予退还”</w:t>
      </w:r>
    </w:p>
    <w:p w14:paraId="1451E607">
      <w:pPr>
        <w:pageBreakBefore w:val="0"/>
        <w:widowControl w:val="0"/>
        <w:numPr>
          <w:numId w:val="0"/>
        </w:numPr>
        <w:kinsoku/>
        <w:wordWrap/>
        <w:overflowPunct/>
        <w:topLinePunct w:val="0"/>
        <w:autoSpaceDE/>
        <w:autoSpaceDN/>
        <w:bidi w:val="0"/>
        <w:adjustRightInd w:val="0"/>
        <w:snapToGrid w:val="0"/>
        <w:spacing w:line="360" w:lineRule="auto"/>
        <w:ind w:firstLine="482" w:firstLineChars="200"/>
        <w:jc w:val="both"/>
        <w:textAlignment w:val="auto"/>
        <w:outlineLvl w:val="0"/>
        <w:rPr>
          <w:rFonts w:hint="default"/>
          <w:b/>
          <w:bCs/>
          <w:sz w:val="24"/>
          <w:szCs w:val="32"/>
          <w:lang w:val="en-US" w:eastAsia="zh-CN"/>
        </w:rPr>
      </w:pPr>
      <w:bookmarkStart w:id="39" w:name="_Toc25612"/>
      <w:bookmarkStart w:id="40" w:name="_Toc8687"/>
      <w:bookmarkStart w:id="41" w:name="_Toc11716"/>
      <w:bookmarkStart w:id="42" w:name="_Toc26629"/>
      <w:bookmarkStart w:id="43" w:name="_Toc14690"/>
      <w:bookmarkStart w:id="44" w:name="_Toc16297"/>
      <w:bookmarkStart w:id="45" w:name="_Toc21043"/>
      <w:bookmarkStart w:id="46" w:name="_Toc26353"/>
      <w:bookmarkStart w:id="47" w:name="_Toc27973"/>
      <w:r>
        <w:rPr>
          <w:rFonts w:hint="eastAsia"/>
          <w:b/>
          <w:bCs/>
          <w:sz w:val="24"/>
          <w:szCs w:val="32"/>
          <w:lang w:val="en-US" w:eastAsia="zh-CN"/>
        </w:rPr>
        <w:t>6.</w:t>
      </w:r>
      <w:r>
        <w:rPr>
          <w:rFonts w:hint="default"/>
          <w:b/>
          <w:bCs/>
          <w:sz w:val="24"/>
          <w:szCs w:val="32"/>
          <w:lang w:val="en-US" w:eastAsia="zh-CN"/>
        </w:rPr>
        <w:t>四、</w:t>
      </w:r>
      <w:bookmarkEnd w:id="39"/>
      <w:bookmarkEnd w:id="40"/>
      <w:bookmarkEnd w:id="41"/>
      <w:bookmarkEnd w:id="42"/>
      <w:bookmarkEnd w:id="43"/>
      <w:bookmarkEnd w:id="44"/>
      <w:bookmarkEnd w:id="45"/>
      <w:bookmarkEnd w:id="46"/>
      <w:r>
        <w:rPr>
          <w:rFonts w:hint="default"/>
          <w:b/>
          <w:bCs/>
          <w:sz w:val="24"/>
          <w:szCs w:val="32"/>
          <w:lang w:val="en-US" w:eastAsia="zh-CN"/>
        </w:rPr>
        <w:t>成交候选人</w:t>
      </w:r>
      <w:bookmarkEnd w:id="47"/>
      <w:r>
        <w:rPr>
          <w:rFonts w:hint="eastAsia"/>
          <w:b/>
          <w:bCs/>
          <w:sz w:val="24"/>
          <w:szCs w:val="32"/>
          <w:lang w:val="en-US" w:eastAsia="zh-CN"/>
        </w:rPr>
        <w:t>“4.项目分为多个包(标段)的，若磋商文件规定兼投不兼中，评审按照包(标段)号由小到大的顺序开展评审工作，已被推荐为前序包(标段)第一成交候选人的供应商不再参与后续包(标段)的评审。每个包(标段)须满足三家有效供应商参与评审，不足三家的作废标处理。”</w:t>
      </w:r>
    </w:p>
    <w:p w14:paraId="5D68EE81">
      <w:pPr>
        <w:pageBreakBefore w:val="0"/>
        <w:widowControl w:val="0"/>
        <w:numPr>
          <w:numId w:val="0"/>
        </w:numPr>
        <w:kinsoku/>
        <w:wordWrap/>
        <w:overflowPunct/>
        <w:topLinePunct w:val="0"/>
        <w:autoSpaceDE/>
        <w:autoSpaceDN/>
        <w:bidi w:val="0"/>
        <w:adjustRightInd w:val="0"/>
        <w:snapToGrid w:val="0"/>
        <w:spacing w:line="360" w:lineRule="auto"/>
        <w:ind w:firstLine="482" w:firstLineChars="200"/>
        <w:jc w:val="both"/>
        <w:textAlignment w:val="auto"/>
        <w:outlineLvl w:val="0"/>
        <w:rPr>
          <w:rFonts w:hint="default"/>
          <w:b w:val="0"/>
          <w:bCs w:val="0"/>
          <w:sz w:val="24"/>
          <w:szCs w:val="32"/>
          <w:lang w:val="en-US" w:eastAsia="zh-CN"/>
        </w:rPr>
      </w:pPr>
      <w:r>
        <w:rPr>
          <w:rFonts w:hint="default"/>
          <w:b/>
          <w:bCs/>
          <w:sz w:val="24"/>
          <w:szCs w:val="32"/>
          <w:lang w:val="en-US" w:eastAsia="zh-CN"/>
        </w:rPr>
        <w:t>现更正为：</w:t>
      </w:r>
      <w:r>
        <w:rPr>
          <w:rFonts w:hint="default"/>
          <w:b w:val="0"/>
          <w:bCs w:val="0"/>
          <w:sz w:val="24"/>
          <w:szCs w:val="32"/>
          <w:lang w:val="en-US" w:eastAsia="zh-CN"/>
        </w:rPr>
        <w:t>“4.项目分为多个包(标段)的，若磋商文件规定兼投不兼中，评审按照包(标段)号由小到大的顺序开展评审工作，已被推荐为前序包(标段)第一成交候选人的供应商不再参与后续包(标段)的评审。每个包(标段)须满足</w:t>
      </w:r>
      <w:r>
        <w:rPr>
          <w:rFonts w:hint="default"/>
          <w:b w:val="0"/>
          <w:bCs w:val="0"/>
          <w:sz w:val="24"/>
          <w:szCs w:val="32"/>
          <w:highlight w:val="yellow"/>
          <w:lang w:val="en-US" w:eastAsia="zh-CN"/>
        </w:rPr>
        <w:t>法定数量</w:t>
      </w:r>
      <w:r>
        <w:rPr>
          <w:rFonts w:hint="default"/>
          <w:b w:val="0"/>
          <w:bCs w:val="0"/>
          <w:sz w:val="24"/>
          <w:szCs w:val="32"/>
          <w:lang w:val="en-US" w:eastAsia="zh-CN"/>
        </w:rPr>
        <w:t>有效供应商参与评审，</w:t>
      </w:r>
      <w:r>
        <w:rPr>
          <w:rFonts w:hint="default"/>
          <w:b w:val="0"/>
          <w:bCs w:val="0"/>
          <w:sz w:val="24"/>
          <w:szCs w:val="32"/>
          <w:highlight w:val="yellow"/>
          <w:lang w:val="en-US" w:eastAsia="zh-CN"/>
        </w:rPr>
        <w:t>不足</w:t>
      </w:r>
      <w:r>
        <w:rPr>
          <w:rFonts w:hint="eastAsia"/>
          <w:b w:val="0"/>
          <w:bCs w:val="0"/>
          <w:sz w:val="24"/>
          <w:szCs w:val="32"/>
          <w:highlight w:val="yellow"/>
          <w:lang w:val="en-US" w:eastAsia="zh-CN"/>
        </w:rPr>
        <w:t>法定数量</w:t>
      </w:r>
      <w:r>
        <w:rPr>
          <w:rFonts w:hint="default"/>
          <w:b w:val="0"/>
          <w:bCs w:val="0"/>
          <w:sz w:val="24"/>
          <w:szCs w:val="32"/>
          <w:lang w:val="en-US" w:eastAsia="zh-CN"/>
        </w:rPr>
        <w:t>的作废标处理。”</w:t>
      </w:r>
    </w:p>
    <w:p w14:paraId="75468F27">
      <w:pPr>
        <w:pageBreakBefore w:val="0"/>
        <w:widowControl w:val="0"/>
        <w:numPr>
          <w:numId w:val="0"/>
        </w:numPr>
        <w:kinsoku/>
        <w:wordWrap/>
        <w:overflowPunct/>
        <w:topLinePunct w:val="0"/>
        <w:autoSpaceDE/>
        <w:autoSpaceDN/>
        <w:bidi w:val="0"/>
        <w:adjustRightInd w:val="0"/>
        <w:snapToGrid w:val="0"/>
        <w:spacing w:line="360" w:lineRule="auto"/>
        <w:ind w:left="420" w:leftChars="0"/>
        <w:jc w:val="both"/>
        <w:textAlignment w:val="auto"/>
        <w:outlineLvl w:val="0"/>
        <w:rPr>
          <w:rFonts w:hint="eastAsia"/>
          <w:b/>
          <w:bCs/>
          <w:sz w:val="24"/>
          <w:szCs w:val="32"/>
          <w:lang w:val="en-US" w:eastAsia="zh-CN"/>
        </w:rPr>
      </w:pPr>
      <w:bookmarkStart w:id="48" w:name="_GoBack"/>
      <w:bookmarkEnd w:id="48"/>
    </w:p>
    <w:p w14:paraId="2D6C171A">
      <w:pPr>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outlineLvl w:val="0"/>
        <w:rPr>
          <w:rFonts w:hint="default"/>
          <w:b/>
          <w:bCs/>
          <w:sz w:val="24"/>
          <w:szCs w:val="32"/>
          <w:lang w:val="en-US" w:eastAsia="zh-CN"/>
        </w:rPr>
      </w:pPr>
      <w:r>
        <w:rPr>
          <w:rFonts w:hint="default"/>
          <w:b/>
          <w:bCs/>
          <w:sz w:val="24"/>
          <w:szCs w:val="32"/>
          <w:lang w:val="en-US" w:eastAsia="zh-CN"/>
        </w:rPr>
        <w:t>招标文件其他内容不变。</w:t>
      </w:r>
    </w:p>
    <w:p w14:paraId="5E0B0FC0">
      <w:pPr>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outlineLvl w:val="0"/>
        <w:rPr>
          <w:rFonts w:hint="default"/>
          <w:b/>
          <w:bCs/>
          <w:sz w:val="32"/>
          <w:szCs w:val="40"/>
          <w:lang w:val="en-US" w:eastAsia="zh-CN"/>
        </w:rPr>
      </w:pPr>
    </w:p>
    <w:p w14:paraId="224D0DDE">
      <w:pPr>
        <w:keepNext w:val="0"/>
        <w:keepLines w:val="0"/>
        <w:pageBreakBefore w:val="0"/>
        <w:widowControl w:val="0"/>
        <w:kinsoku/>
        <w:wordWrap/>
        <w:overflowPunct/>
        <w:topLinePunct w:val="0"/>
        <w:autoSpaceDE/>
        <w:autoSpaceDN/>
        <w:bidi w:val="0"/>
        <w:adjustRightInd/>
        <w:snapToGrid/>
        <w:spacing w:line="440" w:lineRule="exact"/>
        <w:jc w:val="righ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南开大学招投标管理办公室</w:t>
      </w:r>
    </w:p>
    <w:p w14:paraId="7B0FE249">
      <w:pPr>
        <w:numPr>
          <w:ilvl w:val="0"/>
          <w:numId w:val="0"/>
        </w:numPr>
        <w:spacing w:line="360" w:lineRule="auto"/>
        <w:jc w:val="righ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昱丰（天津）项目管理有限公司</w:t>
      </w:r>
    </w:p>
    <w:p w14:paraId="73F0AC68">
      <w:pPr>
        <w:numPr>
          <w:ilvl w:val="0"/>
          <w:numId w:val="0"/>
        </w:numPr>
        <w:spacing w:line="360" w:lineRule="auto"/>
        <w:jc w:val="right"/>
        <w:rPr>
          <w:rFonts w:hint="default" w:ascii="宋体" w:hAnsi="宋体" w:eastAsia="宋体" w:cs="宋体"/>
          <w:b/>
          <w:bCs/>
          <w:color w:val="4874CB" w:themeColor="accent1"/>
          <w:kern w:val="2"/>
          <w:sz w:val="24"/>
          <w:szCs w:val="24"/>
          <w:u w:val="none"/>
          <w:lang w:val="en-US" w:eastAsia="zh-CN" w:bidi="ar-SA"/>
          <w14:textFill>
            <w14:solidFill>
              <w14:schemeClr w14:val="accent1"/>
            </w14:solidFill>
          </w14:textFill>
        </w:rPr>
      </w:pPr>
      <w:r>
        <w:rPr>
          <w:rFonts w:hint="eastAsia" w:ascii="宋体" w:hAnsi="宋体" w:eastAsia="宋体" w:cs="宋体"/>
          <w:b w:val="0"/>
          <w:bCs w:val="0"/>
          <w:sz w:val="24"/>
          <w:szCs w:val="24"/>
          <w:lang w:val="en-US" w:eastAsia="zh-CN"/>
        </w:rPr>
        <w:t>2026年</w:t>
      </w:r>
      <w:r>
        <w:rPr>
          <w:rFonts w:hint="eastAsia" w:ascii="宋体" w:hAnsi="宋体" w:eastAsia="宋体" w:cs="宋体"/>
          <w:b w:val="0"/>
          <w:bCs w:val="0"/>
          <w:sz w:val="24"/>
          <w:szCs w:val="24"/>
          <w:highlight w:val="none"/>
          <w:lang w:val="en-US" w:eastAsia="zh-CN"/>
        </w:rPr>
        <w:t>3月4日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2A606A"/>
    <w:multiLevelType w:val="singleLevel"/>
    <w:tmpl w:val="E92A606A"/>
    <w:lvl w:ilvl="0" w:tentative="0">
      <w:start w:val="1"/>
      <w:numFmt w:val="chineseCounting"/>
      <w:suff w:val="nothing"/>
      <w:lvlText w:val="%1、"/>
      <w:lvlJc w:val="left"/>
      <w:pPr>
        <w:ind w:left="0" w:firstLine="420"/>
      </w:pPr>
      <w:rPr>
        <w:rFonts w:hint="eastAsia"/>
      </w:rPr>
    </w:lvl>
  </w:abstractNum>
  <w:abstractNum w:abstractNumId="1">
    <w:nsid w:val="43E6A7F5"/>
    <w:multiLevelType w:val="singleLevel"/>
    <w:tmpl w:val="43E6A7F5"/>
    <w:lvl w:ilvl="0" w:tentative="0">
      <w:start w:val="3"/>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mMjFjOWFjZjQwM2Y5ZDFiZTI5ZTg5OTVlNThmMWEifQ=="/>
  </w:docVars>
  <w:rsids>
    <w:rsidRoot w:val="52D95E0A"/>
    <w:rsid w:val="00B62D12"/>
    <w:rsid w:val="02321384"/>
    <w:rsid w:val="02B07C93"/>
    <w:rsid w:val="02F72AEC"/>
    <w:rsid w:val="02F76F90"/>
    <w:rsid w:val="05FE4192"/>
    <w:rsid w:val="06D175C9"/>
    <w:rsid w:val="06FE6B3F"/>
    <w:rsid w:val="0765096C"/>
    <w:rsid w:val="07702E6D"/>
    <w:rsid w:val="087B41C0"/>
    <w:rsid w:val="087D7F38"/>
    <w:rsid w:val="09F204B1"/>
    <w:rsid w:val="0A1641A0"/>
    <w:rsid w:val="0A1E3055"/>
    <w:rsid w:val="0A3960E0"/>
    <w:rsid w:val="0E322B08"/>
    <w:rsid w:val="101271B8"/>
    <w:rsid w:val="104C0122"/>
    <w:rsid w:val="105E064F"/>
    <w:rsid w:val="11C42733"/>
    <w:rsid w:val="11CE35B2"/>
    <w:rsid w:val="12681311"/>
    <w:rsid w:val="12DA1AE3"/>
    <w:rsid w:val="14A800EA"/>
    <w:rsid w:val="14D94748"/>
    <w:rsid w:val="14DE3B0C"/>
    <w:rsid w:val="185D16A6"/>
    <w:rsid w:val="18BC001E"/>
    <w:rsid w:val="18D47700"/>
    <w:rsid w:val="18E35B95"/>
    <w:rsid w:val="19375EE1"/>
    <w:rsid w:val="199155F1"/>
    <w:rsid w:val="19F636A6"/>
    <w:rsid w:val="1A3B37AF"/>
    <w:rsid w:val="1B2B3823"/>
    <w:rsid w:val="1BA57132"/>
    <w:rsid w:val="1C116575"/>
    <w:rsid w:val="1CE67A02"/>
    <w:rsid w:val="1CEC0D90"/>
    <w:rsid w:val="1E4744D0"/>
    <w:rsid w:val="1E99509F"/>
    <w:rsid w:val="1F2602DA"/>
    <w:rsid w:val="1F29007A"/>
    <w:rsid w:val="1F316F2E"/>
    <w:rsid w:val="1F9A4AD4"/>
    <w:rsid w:val="1FA140B4"/>
    <w:rsid w:val="206D21E8"/>
    <w:rsid w:val="20B50D68"/>
    <w:rsid w:val="216929AF"/>
    <w:rsid w:val="22511DC1"/>
    <w:rsid w:val="227D2BB6"/>
    <w:rsid w:val="22C24A6D"/>
    <w:rsid w:val="22D53DBA"/>
    <w:rsid w:val="23F76998"/>
    <w:rsid w:val="25297899"/>
    <w:rsid w:val="257162D7"/>
    <w:rsid w:val="257C4B38"/>
    <w:rsid w:val="25D80104"/>
    <w:rsid w:val="25E90563"/>
    <w:rsid w:val="26F7280B"/>
    <w:rsid w:val="271B474C"/>
    <w:rsid w:val="275859A0"/>
    <w:rsid w:val="27826579"/>
    <w:rsid w:val="28A16ED3"/>
    <w:rsid w:val="2B342280"/>
    <w:rsid w:val="2B3F6448"/>
    <w:rsid w:val="2B54647E"/>
    <w:rsid w:val="2C412EA7"/>
    <w:rsid w:val="2CBF3DCB"/>
    <w:rsid w:val="2E4D1273"/>
    <w:rsid w:val="2F522CD5"/>
    <w:rsid w:val="2FBE036A"/>
    <w:rsid w:val="2FFB15BE"/>
    <w:rsid w:val="3095731D"/>
    <w:rsid w:val="30CB0F91"/>
    <w:rsid w:val="312F169A"/>
    <w:rsid w:val="314A7A41"/>
    <w:rsid w:val="31692558"/>
    <w:rsid w:val="31D75713"/>
    <w:rsid w:val="32DA370D"/>
    <w:rsid w:val="33294694"/>
    <w:rsid w:val="36301896"/>
    <w:rsid w:val="36D70A12"/>
    <w:rsid w:val="374E0226"/>
    <w:rsid w:val="37CD1A92"/>
    <w:rsid w:val="37D746BF"/>
    <w:rsid w:val="388859B9"/>
    <w:rsid w:val="38CF35E8"/>
    <w:rsid w:val="392A081F"/>
    <w:rsid w:val="39697599"/>
    <w:rsid w:val="39DE7F87"/>
    <w:rsid w:val="3A500759"/>
    <w:rsid w:val="3A850402"/>
    <w:rsid w:val="3BD47E0D"/>
    <w:rsid w:val="3D2C2DB7"/>
    <w:rsid w:val="3DEE2063"/>
    <w:rsid w:val="3E834C59"/>
    <w:rsid w:val="41144E64"/>
    <w:rsid w:val="41AA2E44"/>
    <w:rsid w:val="43CF0940"/>
    <w:rsid w:val="43F860E9"/>
    <w:rsid w:val="44022AC4"/>
    <w:rsid w:val="45054D85"/>
    <w:rsid w:val="45886FF9"/>
    <w:rsid w:val="46BA1434"/>
    <w:rsid w:val="46CE1383"/>
    <w:rsid w:val="487815A6"/>
    <w:rsid w:val="488C5052"/>
    <w:rsid w:val="49284D7B"/>
    <w:rsid w:val="49883A6B"/>
    <w:rsid w:val="499E6DEB"/>
    <w:rsid w:val="49F509D5"/>
    <w:rsid w:val="4A031344"/>
    <w:rsid w:val="4B217CD3"/>
    <w:rsid w:val="4C8524E4"/>
    <w:rsid w:val="4CE216E4"/>
    <w:rsid w:val="4DB72B71"/>
    <w:rsid w:val="4DD3102D"/>
    <w:rsid w:val="4DFF1E22"/>
    <w:rsid w:val="4F820F5D"/>
    <w:rsid w:val="51BA49DE"/>
    <w:rsid w:val="52D95E0A"/>
    <w:rsid w:val="53681BDD"/>
    <w:rsid w:val="54705828"/>
    <w:rsid w:val="569E48CE"/>
    <w:rsid w:val="57952FC4"/>
    <w:rsid w:val="58382A93"/>
    <w:rsid w:val="592F7A5F"/>
    <w:rsid w:val="5A7661FB"/>
    <w:rsid w:val="5AFA5E4B"/>
    <w:rsid w:val="5B5F2152"/>
    <w:rsid w:val="5B885B4D"/>
    <w:rsid w:val="5C1178F0"/>
    <w:rsid w:val="5EE72B8A"/>
    <w:rsid w:val="600A4823"/>
    <w:rsid w:val="61573FF7"/>
    <w:rsid w:val="619A2136"/>
    <w:rsid w:val="61F4728A"/>
    <w:rsid w:val="622447B3"/>
    <w:rsid w:val="623B2220"/>
    <w:rsid w:val="62774225"/>
    <w:rsid w:val="632E0D88"/>
    <w:rsid w:val="64552344"/>
    <w:rsid w:val="6686712D"/>
    <w:rsid w:val="69696081"/>
    <w:rsid w:val="6BA8544F"/>
    <w:rsid w:val="6BF05D78"/>
    <w:rsid w:val="6BFE564A"/>
    <w:rsid w:val="6C2C7E2E"/>
    <w:rsid w:val="6C89702F"/>
    <w:rsid w:val="6D211BDC"/>
    <w:rsid w:val="6DA71E62"/>
    <w:rsid w:val="6DB4632D"/>
    <w:rsid w:val="6EBA7973"/>
    <w:rsid w:val="6ED0363B"/>
    <w:rsid w:val="6F984159"/>
    <w:rsid w:val="702459EC"/>
    <w:rsid w:val="705F6A24"/>
    <w:rsid w:val="70B7060E"/>
    <w:rsid w:val="716B66FC"/>
    <w:rsid w:val="733435F5"/>
    <w:rsid w:val="744E3387"/>
    <w:rsid w:val="74F6547D"/>
    <w:rsid w:val="75E672A0"/>
    <w:rsid w:val="77334767"/>
    <w:rsid w:val="77976AA4"/>
    <w:rsid w:val="77A25449"/>
    <w:rsid w:val="77B27C24"/>
    <w:rsid w:val="787B0173"/>
    <w:rsid w:val="78BC253A"/>
    <w:rsid w:val="79110AD8"/>
    <w:rsid w:val="7A707A80"/>
    <w:rsid w:val="7A907638"/>
    <w:rsid w:val="7C0E12FE"/>
    <w:rsid w:val="7C57270A"/>
    <w:rsid w:val="7D592A4D"/>
    <w:rsid w:val="7D7F24B4"/>
    <w:rsid w:val="7DDD71DA"/>
    <w:rsid w:val="7F3D2627"/>
    <w:rsid w:val="7F923EC9"/>
    <w:rsid w:val="7FE46423"/>
    <w:rsid w:val="7FF52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2"/>
    <w:qFormat/>
    <w:uiPriority w:val="9"/>
    <w:pPr>
      <w:keepNext/>
      <w:keepLines/>
      <w:spacing w:before="340" w:after="330"/>
      <w:jc w:val="center"/>
      <w:outlineLvl w:val="0"/>
    </w:pPr>
    <w:rPr>
      <w:rFonts w:ascii="黑体" w:hAnsi="黑体" w:eastAsia="黑体"/>
      <w:kern w:val="44"/>
      <w:sz w:val="52"/>
      <w:szCs w:val="52"/>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unhideWhenUsed/>
    <w:qFormat/>
    <w:uiPriority w:val="99"/>
    <w:pPr>
      <w:ind w:firstLine="420" w:firstLineChars="200"/>
    </w:pPr>
    <w:rPr>
      <w:rFonts w:ascii="Calibri" w:hAnsi="Calibri"/>
      <w:szCs w:val="24"/>
    </w:rPr>
  </w:style>
  <w:style w:type="paragraph" w:styleId="5">
    <w:name w:val="annotation text"/>
    <w:basedOn w:val="1"/>
    <w:qFormat/>
    <w:uiPriority w:val="0"/>
    <w:pPr>
      <w:jc w:val="left"/>
    </w:pPr>
  </w:style>
  <w:style w:type="paragraph" w:styleId="6">
    <w:name w:val="Body Text"/>
    <w:basedOn w:val="1"/>
    <w:autoRedefine/>
    <w:semiHidden/>
    <w:qFormat/>
    <w:uiPriority w:val="0"/>
    <w:rPr>
      <w:rFonts w:ascii="宋体" w:hAnsi="宋体" w:eastAsia="宋体" w:cs="宋体"/>
      <w:sz w:val="27"/>
      <w:szCs w:val="27"/>
      <w:lang w:val="en-US" w:eastAsia="en-US" w:bidi="ar-SA"/>
    </w:rPr>
  </w:style>
  <w:style w:type="paragraph" w:styleId="7">
    <w:name w:val="Body Text Indent"/>
    <w:basedOn w:val="1"/>
    <w:next w:val="8"/>
    <w:autoRedefine/>
    <w:qFormat/>
    <w:uiPriority w:val="0"/>
    <w:pPr>
      <w:spacing w:line="400" w:lineRule="exact"/>
      <w:jc w:val="left"/>
    </w:pPr>
    <w:rPr>
      <w:rFonts w:ascii="宋体"/>
      <w:sz w:val="28"/>
    </w:rPr>
  </w:style>
  <w:style w:type="paragraph" w:styleId="8">
    <w:name w:val="envelope return"/>
    <w:basedOn w:val="1"/>
    <w:autoRedefine/>
    <w:qFormat/>
    <w:uiPriority w:val="99"/>
    <w:rPr>
      <w:rFonts w:ascii="Arial" w:hAnsi="Arial"/>
    </w:rPr>
  </w:style>
  <w:style w:type="character" w:customStyle="1" w:styleId="11">
    <w:name w:val="投标人须知前附表"/>
    <w:qFormat/>
    <w:uiPriority w:val="1"/>
    <w:rPr>
      <w:rFonts w:ascii="黑体" w:hAnsi="黑体" w:eastAsia="黑体" w:cs="Times New Roman"/>
      <w:sz w:val="24"/>
    </w:rPr>
  </w:style>
  <w:style w:type="character" w:customStyle="1" w:styleId="12">
    <w:name w:val="标题 1 字符1"/>
    <w:link w:val="2"/>
    <w:qFormat/>
    <w:uiPriority w:val="9"/>
    <w:rPr>
      <w:rFonts w:ascii="黑体" w:hAnsi="黑体" w:eastAsia="黑体"/>
      <w:kern w:val="44"/>
      <w:sz w:val="52"/>
      <w:szCs w:val="5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6922</Words>
  <Characters>7982</Characters>
  <Lines>0</Lines>
  <Paragraphs>0</Paragraphs>
  <TotalTime>3</TotalTime>
  <ScaleCrop>false</ScaleCrop>
  <LinksUpToDate>false</LinksUpToDate>
  <CharactersWithSpaces>8130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2026-01-23T06:55:00Z</dcterms:created>
  <dc:creator>工作人员</dc:creator>
  <cp:lastModifiedBy>工作人员</cp:lastModifiedBy>
  <dcterms:modified xsi:type="dcterms:W3CDTF">2026-03-04T08:08:04Z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5EB53F51F7E54DA8B606AF0CB1710368_11</vt:lpwstr>
  </property>
  <property fmtid="{D5CDD505-2E9C-101B-9397-08002B2CF9AE}" pid="4" name="KSOTemplateDocerSaveRecord">
    <vt:lpwstr>eyJoZGlkIjoiOGJiMGJlODZiNzdhZDQzODZhODJhZDRjMjBkMjU5MTIiLCJ1c2VySWQiOiIzNDcwNzMzMjIifQ==</vt:lpwstr>
  </property>
</Properties>
</file>