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7C960">
      <w:pPr>
        <w:spacing w:before="146" w:line="224" w:lineRule="auto"/>
        <w:jc w:val="center"/>
        <w:outlineLvl w:val="0"/>
        <w:rPr>
          <w:rFonts w:hint="eastAsia" w:ascii="黑体" w:hAnsi="黑体" w:eastAsia="黑体" w:cs="黑体"/>
          <w:sz w:val="52"/>
          <w:szCs w:val="52"/>
          <w:lang w:eastAsia="zh-CN"/>
        </w:rPr>
      </w:pPr>
      <w:r>
        <w:rPr>
          <w:rFonts w:ascii="黑体" w:hAnsi="黑体" w:eastAsia="黑体" w:cs="黑体"/>
          <w:spacing w:val="-1"/>
          <w:sz w:val="52"/>
          <w:szCs w:val="52"/>
        </w:rPr>
        <w:t>补充文件</w:t>
      </w:r>
    </w:p>
    <w:p w14:paraId="1A2A9E1D">
      <w:pPr>
        <w:spacing w:before="250" w:line="227" w:lineRule="auto"/>
        <w:ind w:left="26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  <w:lang w:eastAsia="zh-CN"/>
        </w:rPr>
        <w:t>南开大学智能光子研究院前沿交叉学科中心A座1层与2层实验室改造工程</w:t>
      </w:r>
    </w:p>
    <w:p w14:paraId="26C48953">
      <w:pPr>
        <w:spacing w:before="159" w:line="227" w:lineRule="auto"/>
        <w:ind w:left="26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6"/>
          <w:sz w:val="30"/>
          <w:szCs w:val="30"/>
          <w:lang w:eastAsia="zh-CN"/>
        </w:rPr>
        <w:t>NK2026G00</w:t>
      </w:r>
      <w:r>
        <w:rPr>
          <w:rFonts w:hint="eastAsia" w:ascii="黑体" w:hAnsi="黑体" w:eastAsia="黑体" w:cs="黑体"/>
          <w:spacing w:val="16"/>
          <w:sz w:val="30"/>
          <w:szCs w:val="30"/>
          <w:lang w:val="en-US" w:eastAsia="zh-CN"/>
        </w:rPr>
        <w:t>6</w:t>
      </w:r>
    </w:p>
    <w:p w14:paraId="57208261">
      <w:pPr>
        <w:spacing w:line="259" w:lineRule="auto"/>
        <w:rPr>
          <w:rFonts w:ascii="Arial"/>
          <w:sz w:val="21"/>
        </w:rPr>
      </w:pPr>
    </w:p>
    <w:p w14:paraId="47ABEBAE">
      <w:pPr>
        <w:spacing w:line="31" w:lineRule="exact"/>
      </w:pPr>
      <w:r>
        <w:drawing>
          <wp:inline distT="0" distB="0" distL="0" distR="0">
            <wp:extent cx="5981700" cy="196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ADE3C">
      <w:pPr>
        <w:pStyle w:val="2"/>
        <w:spacing w:before="278" w:line="360" w:lineRule="auto"/>
        <w:ind w:left="45"/>
        <w:rPr>
          <w:b/>
          <w:bCs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致：各潜在供应商</w:t>
      </w:r>
    </w:p>
    <w:p w14:paraId="50CC87DE">
      <w:pPr>
        <w:pStyle w:val="2"/>
        <w:spacing w:before="240" w:line="360" w:lineRule="auto"/>
        <w:ind w:left="614"/>
        <w:rPr>
          <w:b/>
          <w:bCs/>
          <w:spacing w:val="-20"/>
          <w:sz w:val="24"/>
          <w:szCs w:val="24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一、</w:t>
      </w:r>
      <w:r>
        <w:rPr>
          <w:b/>
          <w:bCs/>
          <w:spacing w:val="-20"/>
          <w:sz w:val="24"/>
          <w:szCs w:val="24"/>
        </w:rPr>
        <w:t xml:space="preserve">关于“ </w:t>
      </w:r>
      <w:r>
        <w:rPr>
          <w:rFonts w:hint="eastAsia"/>
          <w:b/>
          <w:bCs/>
          <w:spacing w:val="-20"/>
          <w:sz w:val="24"/>
          <w:szCs w:val="24"/>
          <w:lang w:eastAsia="zh-CN"/>
        </w:rPr>
        <w:t>南开大学智能光子研究院前沿交叉学科中心A座1层与2层实验室改造工程</w:t>
      </w:r>
      <w:r>
        <w:rPr>
          <w:b/>
          <w:bCs/>
          <w:spacing w:val="-20"/>
          <w:sz w:val="24"/>
          <w:szCs w:val="24"/>
        </w:rPr>
        <w:t>” 的供应商问题澄清如下：</w:t>
      </w:r>
    </w:p>
    <w:p w14:paraId="48C16E2B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</w:rPr>
      </w:pPr>
      <w:r>
        <w:rPr>
          <w:rFonts w:hint="eastAsia"/>
          <w:b/>
          <w:bCs/>
          <w:spacing w:val="-20"/>
          <w:sz w:val="24"/>
          <w:szCs w:val="24"/>
        </w:rPr>
        <w:t>问题一：室外风冷涡轮式热泵模块机组会占用绿地及路面，该区苗木移栽、草坪、路面如何恢复（量单中无此项施工内容），该室外设备位置是否需要安全护栏围合封闭需明确。</w:t>
      </w:r>
    </w:p>
    <w:p w14:paraId="28FDDB7D">
      <w:pPr>
        <w:pStyle w:val="2"/>
        <w:spacing w:before="240" w:line="360" w:lineRule="auto"/>
        <w:ind w:left="614" w:firstLine="560" w:firstLineChars="200"/>
        <w:rPr>
          <w:rFonts w:hint="eastAsia"/>
          <w:b/>
          <w:bCs/>
          <w:spacing w:val="-20"/>
          <w:sz w:val="24"/>
          <w:szCs w:val="24"/>
        </w:rPr>
      </w:pPr>
      <w:r>
        <w:drawing>
          <wp:inline distT="0" distB="0" distL="114300" distR="114300">
            <wp:extent cx="2532380" cy="2040255"/>
            <wp:effectExtent l="0" t="0" r="1270" b="762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32380" cy="204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51125" cy="1553845"/>
            <wp:effectExtent l="0" t="0" r="6350" b="825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51125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DE8F7">
      <w:pPr>
        <w:pStyle w:val="2"/>
        <w:spacing w:before="240" w:line="360" w:lineRule="auto"/>
        <w:ind w:left="614" w:firstLine="402" w:firstLineChars="200"/>
        <w:rPr>
          <w:rFonts w:hint="default"/>
          <w:b/>
          <w:bCs/>
          <w:color w:val="auto"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pacing w:val="-20"/>
          <w:sz w:val="24"/>
          <w:szCs w:val="24"/>
        </w:rPr>
        <w:t>回复：</w:t>
      </w:r>
      <w:r>
        <w:rPr>
          <w:rFonts w:hint="eastAsia"/>
          <w:b/>
          <w:bCs/>
          <w:color w:val="auto"/>
          <w:spacing w:val="-20"/>
          <w:sz w:val="24"/>
          <w:szCs w:val="24"/>
          <w:lang w:val="en-US" w:eastAsia="zh-CN"/>
        </w:rPr>
        <w:t>室外风冷机组按结构设计图纸施工设备基础即可，管线为地上路由，室外机放置在绿地范围内，除设备基础范围区域外其他范围绿地就地保护不予移栽，不需要修改现有景观路面，也不需要防护栏杆。综上清单无需调整</w:t>
      </w:r>
      <w:r>
        <w:rPr>
          <w:rFonts w:hint="default"/>
          <w:b/>
          <w:bCs/>
          <w:color w:val="auto"/>
          <w:spacing w:val="-20"/>
          <w:sz w:val="24"/>
          <w:szCs w:val="24"/>
          <w:lang w:val="en-US" w:eastAsia="zh-CN"/>
        </w:rPr>
        <w:t>。</w:t>
      </w:r>
    </w:p>
    <w:p w14:paraId="53DE60C7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</w:rPr>
      </w:pPr>
      <w:r>
        <w:rPr>
          <w:rFonts w:hint="eastAsia"/>
          <w:b/>
          <w:bCs/>
          <w:spacing w:val="-20"/>
          <w:sz w:val="24"/>
          <w:szCs w:val="24"/>
        </w:rPr>
        <w:t>问题二：量单中噪声值要求为≤54dB，264台FFU同时开启时大概率会超出该分贝值要求，请再次复核确认。</w:t>
      </w:r>
    </w:p>
    <w:p w14:paraId="5D1172BB">
      <w:pPr>
        <w:spacing w:line="360" w:lineRule="auto"/>
        <w:jc w:val="center"/>
        <w:rPr>
          <w:rFonts w:asciiTheme="minorEastAsia" w:hAnsiTheme="minorEastAsia" w:cstheme="minorEastAsia"/>
          <w:szCs w:val="21"/>
        </w:rPr>
      </w:pPr>
      <w:r>
        <w:drawing>
          <wp:inline distT="0" distB="0" distL="114300" distR="114300">
            <wp:extent cx="3954145" cy="1760855"/>
            <wp:effectExtent l="0" t="0" r="8255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54145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438B4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</w:rPr>
      </w:pPr>
      <w:r>
        <w:rPr>
          <w:rFonts w:hint="eastAsia"/>
          <w:b/>
          <w:bCs/>
          <w:spacing w:val="-20"/>
          <w:sz w:val="24"/>
          <w:szCs w:val="24"/>
        </w:rPr>
        <w:t>回复：工程量清单中噪声分贝值的要求为单台设备要求，不是房间整体噪声值要求。</w:t>
      </w:r>
    </w:p>
    <w:p w14:paraId="36E1B1FB">
      <w:pPr>
        <w:pStyle w:val="2"/>
        <w:numPr>
          <w:numId w:val="0"/>
        </w:numPr>
        <w:spacing w:before="240" w:line="360" w:lineRule="auto"/>
        <w:ind w:leftChars="200"/>
        <w:jc w:val="left"/>
        <w:rPr>
          <w:rFonts w:hint="eastAsia"/>
          <w:b/>
          <w:bCs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二、关于本项目清单导出“项目特征”列的说明</w:t>
      </w:r>
    </w:p>
    <w:p w14:paraId="5F3463C5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1、打开标书文件后，选择报表→选择第一个单位工程→选择投标方→选择分部分项工程项目清单计价表→点击设计</w:t>
      </w:r>
    </w:p>
    <w:p w14:paraId="6CCFDA5F">
      <w:pPr>
        <w:numPr>
          <w:ilvl w:val="0"/>
          <w:numId w:val="0"/>
        </w:num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66690" cy="2759710"/>
            <wp:effectExtent l="0" t="0" r="635" b="2540"/>
            <wp:docPr id="7" name="图片 7" descr="b38b82ed-c5a7-408f-aff1-4b3594fa2b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b38b82ed-c5a7-408f-aff1-4b3594fa2b9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033CD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2、选中项目名称单元格→点击后插列→选中刚添加的两个单元格→点击合并单元格→选择是</w:t>
      </w:r>
    </w:p>
    <w:p w14:paraId="7C9DD0B5">
      <w:pPr>
        <w:numPr>
          <w:ilvl w:val="0"/>
          <w:numId w:val="0"/>
        </w:numPr>
        <w:ind w:leftChars="0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4575175" cy="2921000"/>
            <wp:effectExtent l="0" t="0" r="6350" b="3175"/>
            <wp:docPr id="8" name="图片 8" descr="2e1e2ffb-ad5e-4c74-a240-2908ff386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e1e2ffb-ad5e-4c74-a240-2908ff3867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5175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F428F">
      <w:pPr>
        <w:numPr>
          <w:ilvl w:val="0"/>
          <w:numId w:val="0"/>
        </w:numPr>
        <w:ind w:leftChars="0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4705350" cy="1495425"/>
            <wp:effectExtent l="0" t="0" r="0" b="0"/>
            <wp:docPr id="9" name="图片 9" descr="0f4d1f3f-0864-464b-a3d8-6e494e4164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f4d1f3f-0864-464b-a3d8-6e494e4164c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3A4EE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3、将项目名称单元格的内容复制到新增的单元格中，并将项目名称改为项目特征(注：项目特征每个文字中间需增加一个空白格)</w:t>
      </w:r>
    </w:p>
    <w:p w14:paraId="3C3B9459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69230" cy="2218055"/>
            <wp:effectExtent l="0" t="0" r="7620" b="1270"/>
            <wp:docPr id="10" name="图片 10" descr="7415c67e-c4b1-44d2-ad65-2f219eb55d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7415c67e-c4b1-44d2-ad65-2f219eb55d2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BDDD2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4、选中该单元格(分部分项清单行，项目特征列)，双击右侧工具栏中的项目特征</w:t>
      </w:r>
    </w:p>
    <w:p w14:paraId="2F1850E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62245" cy="1437640"/>
            <wp:effectExtent l="0" t="0" r="5080" b="635"/>
            <wp:docPr id="11" name="图片 11" descr="e266afd3-d7a5-47d3-8d10-353060f765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e266afd3-d7a5-47d3-8d10-353060f765de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8052C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rPr>
          <w:rFonts w:hint="default"/>
          <w:sz w:val="28"/>
          <w:szCs w:val="28"/>
          <w:lang w:val="en-US" w:eastAsia="zh-CN"/>
        </w:rPr>
      </w:pPr>
    </w:p>
    <w:p w14:paraId="5A5E8ED6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5、点击退出，选择是</w:t>
      </w:r>
    </w:p>
    <w:p w14:paraId="6F286FB6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4500245" cy="2301875"/>
            <wp:effectExtent l="0" t="0" r="5080" b="3175"/>
            <wp:docPr id="12" name="图片 12" descr="9f5fc435-ed18-47b7-be62-64bde18b37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9f5fc435-ed18-47b7-be62-64bde18b377b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00245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F49CC">
      <w:pPr>
        <w:pStyle w:val="2"/>
        <w:spacing w:before="240" w:line="360" w:lineRule="auto"/>
        <w:ind w:left="614" w:firstLine="402" w:firstLineChars="200"/>
        <w:rPr>
          <w:rFonts w:hint="eastAsia"/>
          <w:b/>
          <w:bCs/>
          <w:spacing w:val="-20"/>
          <w:sz w:val="24"/>
          <w:szCs w:val="24"/>
          <w:lang w:val="en-US" w:eastAsia="zh-CN"/>
        </w:rPr>
      </w:pPr>
      <w:r>
        <w:rPr>
          <w:rFonts w:hint="eastAsia"/>
          <w:b/>
          <w:bCs/>
          <w:spacing w:val="-20"/>
          <w:sz w:val="24"/>
          <w:szCs w:val="24"/>
          <w:lang w:val="en-US" w:eastAsia="zh-CN"/>
        </w:rPr>
        <w:t>6、最后将修改应用到其他同名报表后，导出相应报表即可</w:t>
      </w:r>
    </w:p>
    <w:p w14:paraId="7CB88BD3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center"/>
        <w:rPr>
          <w:rFonts w:hint="default"/>
          <w:sz w:val="28"/>
          <w:szCs w:val="28"/>
          <w:lang w:val="en-US" w:eastAsia="zh-CN"/>
        </w:rPr>
      </w:pPr>
      <w:bookmarkStart w:id="0" w:name="_GoBack"/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69230" cy="2579370"/>
            <wp:effectExtent l="0" t="0" r="7620" b="1905"/>
            <wp:docPr id="13" name="图片 13" descr="0aa3c0d2-de7b-40a0-88a3-184c8292d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0aa3c0d2-de7b-40a0-88a3-184c8292d09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7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55C0768">
      <w:pPr>
        <w:pStyle w:val="2"/>
        <w:numPr>
          <w:numId w:val="0"/>
        </w:numPr>
        <w:spacing w:before="240" w:line="360" w:lineRule="auto"/>
        <w:ind w:leftChars="200"/>
        <w:jc w:val="left"/>
        <w:rPr>
          <w:rFonts w:hint="default"/>
          <w:b/>
          <w:bCs/>
          <w:spacing w:val="-20"/>
          <w:sz w:val="24"/>
          <w:szCs w:val="24"/>
          <w:lang w:val="en-US" w:eastAsia="zh-CN"/>
        </w:rPr>
      </w:pPr>
    </w:p>
    <w:p w14:paraId="2E4EED1C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  <w:r>
        <w:rPr>
          <w:spacing w:val="-4"/>
          <w:sz w:val="24"/>
          <w:szCs w:val="24"/>
        </w:rPr>
        <w:t>本补充文件是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文件的一部分，与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5"/>
          <w:sz w:val="24"/>
          <w:szCs w:val="24"/>
        </w:rPr>
        <w:t>文件</w:t>
      </w:r>
      <w:r>
        <w:rPr>
          <w:rFonts w:hint="eastAsia"/>
          <w:spacing w:val="-5"/>
          <w:sz w:val="24"/>
          <w:szCs w:val="24"/>
          <w:lang w:eastAsia="zh-CN"/>
        </w:rPr>
        <w:t>具有</w:t>
      </w:r>
      <w:r>
        <w:rPr>
          <w:spacing w:val="-5"/>
          <w:sz w:val="24"/>
          <w:szCs w:val="24"/>
        </w:rPr>
        <w:t>同等法律效</w:t>
      </w:r>
      <w:r>
        <w:rPr>
          <w:spacing w:val="-4"/>
          <w:sz w:val="24"/>
          <w:szCs w:val="24"/>
        </w:rPr>
        <w:t>力。如与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文件要求不一致，以本补充文件为</w:t>
      </w:r>
      <w:r>
        <w:rPr>
          <w:spacing w:val="-5"/>
          <w:sz w:val="24"/>
          <w:szCs w:val="24"/>
        </w:rPr>
        <w:t>准。</w:t>
      </w:r>
      <w:r>
        <w:rPr>
          <w:spacing w:val="-5"/>
          <w:sz w:val="24"/>
          <w:szCs w:val="24"/>
          <w:u w:val="single" w:color="auto"/>
        </w:rPr>
        <w:t>请贵单位将回执页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 w:color="auto"/>
        </w:rPr>
        <w:t>盖章、扫描，回传至代理机构邮箱号：</w: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begin"/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instrText xml:space="preserve"> HYPERLINK "mailto:yitianzb@126.com。" </w:instrTex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separate"/>
      </w:r>
      <w:r>
        <w:rPr>
          <w:rStyle w:val="9"/>
          <w:rFonts w:hint="eastAsia"/>
          <w:spacing w:val="-2"/>
          <w:sz w:val="24"/>
          <w:szCs w:val="24"/>
          <w:lang w:eastAsia="zh-CN"/>
        </w:rPr>
        <w:t>yitianzb@126.com</w:t>
      </w:r>
      <w:r>
        <w:rPr>
          <w:rStyle w:val="9"/>
          <w:spacing w:val="-2"/>
          <w:sz w:val="24"/>
          <w:szCs w:val="24"/>
        </w:rPr>
        <w:t>。</w: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end"/>
      </w:r>
    </w:p>
    <w:p w14:paraId="68700C14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</w:p>
    <w:p w14:paraId="55296BDF">
      <w:pPr>
        <w:pStyle w:val="2"/>
        <w:spacing w:before="1" w:line="360" w:lineRule="auto"/>
        <w:ind w:left="976"/>
        <w:rPr>
          <w:sz w:val="24"/>
          <w:szCs w:val="24"/>
        </w:rPr>
      </w:pPr>
      <w:r>
        <w:rPr>
          <w:spacing w:val="-6"/>
          <w:sz w:val="24"/>
          <w:szCs w:val="24"/>
        </w:rPr>
        <w:t>谢谢合作！</w:t>
      </w:r>
    </w:p>
    <w:p w14:paraId="1567C536">
      <w:pPr>
        <w:pStyle w:val="2"/>
        <w:spacing w:before="209" w:line="360" w:lineRule="auto"/>
        <w:ind w:left="980"/>
        <w:rPr>
          <w:rFonts w:hint="eastAsia" w:eastAsia="仿宋"/>
          <w:sz w:val="24"/>
          <w:szCs w:val="24"/>
          <w:lang w:eastAsia="zh-CN"/>
        </w:rPr>
      </w:pPr>
      <w:r>
        <w:rPr>
          <w:spacing w:val="-5"/>
          <w:sz w:val="24"/>
          <w:szCs w:val="24"/>
        </w:rPr>
        <w:t>项目联系人：</w:t>
      </w:r>
      <w:r>
        <w:rPr>
          <w:rFonts w:hint="eastAsia"/>
          <w:spacing w:val="-5"/>
          <w:sz w:val="24"/>
          <w:szCs w:val="24"/>
          <w:lang w:eastAsia="zh-CN"/>
        </w:rPr>
        <w:t>尹宝媛、佟丽萍、徐珊珊、付维</w:t>
      </w:r>
    </w:p>
    <w:p w14:paraId="6F809519">
      <w:pPr>
        <w:pStyle w:val="2"/>
        <w:spacing w:before="222" w:line="360" w:lineRule="auto"/>
        <w:ind w:left="1039"/>
        <w:rPr>
          <w:rFonts w:hint="default" w:eastAsia="仿宋"/>
          <w:sz w:val="24"/>
          <w:szCs w:val="24"/>
          <w:lang w:val="en-US" w:eastAsia="zh-CN"/>
        </w:rPr>
      </w:pPr>
      <w:r>
        <w:rPr>
          <w:spacing w:val="-6"/>
          <w:sz w:val="24"/>
          <w:szCs w:val="24"/>
        </w:rPr>
        <w:t>电话：</w:t>
      </w:r>
      <w:r>
        <w:rPr>
          <w:rFonts w:hint="eastAsia"/>
          <w:spacing w:val="-6"/>
          <w:sz w:val="24"/>
          <w:szCs w:val="24"/>
          <w:lang w:val="en-US" w:eastAsia="zh-CN"/>
        </w:rPr>
        <w:t>13212109363</w:t>
      </w:r>
    </w:p>
    <w:p w14:paraId="481C68DC">
      <w:pPr>
        <w:pStyle w:val="2"/>
        <w:spacing w:before="182" w:line="360" w:lineRule="auto"/>
        <w:ind w:left="1039"/>
        <w:rPr>
          <w:rFonts w:hint="eastAsia" w:eastAsia="仿宋"/>
          <w:sz w:val="24"/>
          <w:szCs w:val="24"/>
          <w:lang w:eastAsia="zh-CN"/>
        </w:rPr>
      </w:pPr>
      <w:r>
        <w:rPr>
          <w:spacing w:val="-5"/>
          <w:sz w:val="24"/>
          <w:szCs w:val="24"/>
        </w:rPr>
        <w:t>电子邮箱：</w:t>
      </w:r>
      <w:r>
        <w:rPr>
          <w:rFonts w:hint="eastAsia"/>
          <w:spacing w:val="-5"/>
          <w:sz w:val="24"/>
          <w:szCs w:val="24"/>
          <w:lang w:eastAsia="zh-CN"/>
        </w:rPr>
        <w:t>yitianzb@126.com</w:t>
      </w:r>
    </w:p>
    <w:p w14:paraId="2536509A">
      <w:pPr>
        <w:spacing w:line="298" w:lineRule="auto"/>
        <w:rPr>
          <w:rFonts w:ascii="Arial"/>
          <w:sz w:val="21"/>
        </w:rPr>
      </w:pPr>
    </w:p>
    <w:p w14:paraId="57C67B9D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南开大学招投标管理办公室 </w:t>
      </w:r>
    </w:p>
    <w:p w14:paraId="6C4A02D0">
      <w:pPr>
        <w:pStyle w:val="2"/>
        <w:spacing w:before="300" w:line="352" w:lineRule="auto"/>
        <w:ind w:left="427" w:right="14" w:firstLine="553"/>
        <w:jc w:val="right"/>
        <w:rPr>
          <w:rFonts w:hint="eastAsia" w:eastAsia="仿宋"/>
          <w:spacing w:val="-4"/>
          <w:sz w:val="24"/>
          <w:szCs w:val="24"/>
          <w:lang w:eastAsia="zh-CN"/>
        </w:rPr>
      </w:pPr>
      <w:r>
        <w:rPr>
          <w:rFonts w:hint="eastAsia"/>
          <w:spacing w:val="-4"/>
          <w:sz w:val="24"/>
          <w:szCs w:val="24"/>
          <w:lang w:eastAsia="zh-CN"/>
        </w:rPr>
        <w:t>天津倚天工程咨询有限公司</w:t>
      </w:r>
    </w:p>
    <w:p w14:paraId="4354D711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202</w:t>
      </w:r>
      <w:r>
        <w:rPr>
          <w:rFonts w:hint="eastAsia"/>
          <w:spacing w:val="-4"/>
          <w:sz w:val="24"/>
          <w:szCs w:val="24"/>
          <w:lang w:val="en-US" w:eastAsia="zh-CN"/>
        </w:rPr>
        <w:t>6</w:t>
      </w:r>
      <w:r>
        <w:rPr>
          <w:spacing w:val="-4"/>
          <w:sz w:val="24"/>
          <w:szCs w:val="24"/>
        </w:rPr>
        <w:t>年</w:t>
      </w:r>
      <w:r>
        <w:rPr>
          <w:rFonts w:hint="eastAsia"/>
          <w:spacing w:val="-4"/>
          <w:sz w:val="24"/>
          <w:szCs w:val="24"/>
          <w:lang w:val="en-US" w:eastAsia="zh-CN"/>
        </w:rPr>
        <w:t>5</w:t>
      </w:r>
      <w:r>
        <w:rPr>
          <w:spacing w:val="-4"/>
          <w:sz w:val="24"/>
          <w:szCs w:val="24"/>
        </w:rPr>
        <w:t>月</w:t>
      </w:r>
      <w:r>
        <w:rPr>
          <w:rFonts w:hint="eastAsia"/>
          <w:spacing w:val="-4"/>
          <w:sz w:val="24"/>
          <w:szCs w:val="24"/>
          <w:lang w:val="en-US" w:eastAsia="zh-CN"/>
        </w:rPr>
        <w:t>18</w:t>
      </w:r>
      <w:r>
        <w:rPr>
          <w:spacing w:val="-4"/>
          <w:sz w:val="24"/>
          <w:szCs w:val="24"/>
        </w:rPr>
        <w:t>日</w:t>
      </w:r>
    </w:p>
    <w:p w14:paraId="5DA4D4F0">
      <w:pPr>
        <w:spacing w:line="383" w:lineRule="exact"/>
        <w:sectPr>
          <w:footerReference r:id="rId5" w:type="default"/>
          <w:pgSz w:w="11907" w:h="16840"/>
          <w:pgMar w:top="1228" w:right="1224" w:bottom="1145" w:left="865" w:header="0" w:footer="950" w:gutter="0"/>
          <w:pgNumType w:fmt="decimal" w:start="1"/>
          <w:cols w:space="720" w:num="1"/>
        </w:sectPr>
      </w:pPr>
    </w:p>
    <w:p w14:paraId="394A32EB">
      <w:pPr>
        <w:pStyle w:val="2"/>
        <w:spacing w:before="199" w:line="227" w:lineRule="auto"/>
        <w:ind w:left="2746"/>
        <w:rPr>
          <w:rFonts w:hint="eastAsia" w:eastAsia="仿宋"/>
          <w:sz w:val="47"/>
          <w:szCs w:val="47"/>
          <w:lang w:eastAsia="zh-CN"/>
        </w:rPr>
      </w:pPr>
      <w:r>
        <w:rPr>
          <w:spacing w:val="-8"/>
          <w:sz w:val="47"/>
          <w:szCs w:val="47"/>
        </w:rPr>
        <w:t>更正公告确认回执</w:t>
      </w:r>
    </w:p>
    <w:p w14:paraId="739E5884">
      <w:pPr>
        <w:spacing w:line="256" w:lineRule="auto"/>
        <w:rPr>
          <w:rFonts w:ascii="Arial"/>
          <w:sz w:val="21"/>
        </w:rPr>
      </w:pPr>
    </w:p>
    <w:p w14:paraId="15D7F188">
      <w:pPr>
        <w:spacing w:line="256" w:lineRule="auto"/>
        <w:rPr>
          <w:rFonts w:ascii="Arial"/>
          <w:sz w:val="21"/>
        </w:rPr>
      </w:pPr>
      <w:r>
        <w:pict>
          <v:shape id="_x0000_s1026" o:spid="_x0000_s1026" style="position:absolute;left:0pt;margin-left:29.05pt;margin-top:0.8pt;height:0.65pt;width:440.25pt;z-index:251660288;mso-width-relative:page;mso-height-relative:page;" filled="f" stroked="t" coordsize="8805,12" path="m0,6l8805,6e">
            <v:fill on="f" focussize="0,0"/>
            <v:stroke weight="0.6pt" color="#000000" miterlimit="2" joinstyle="bevel" dashstyle="dash"/>
            <v:imagedata o:title=""/>
            <o:lock v:ext="edit"/>
          </v:shape>
        </w:pict>
      </w:r>
    </w:p>
    <w:p w14:paraId="2D93E1C0">
      <w:pPr>
        <w:spacing w:line="256" w:lineRule="auto"/>
        <w:rPr>
          <w:rFonts w:ascii="Arial"/>
          <w:sz w:val="21"/>
        </w:rPr>
      </w:pPr>
    </w:p>
    <w:p w14:paraId="6EE32D13">
      <w:pPr>
        <w:spacing w:line="256" w:lineRule="auto"/>
        <w:rPr>
          <w:rFonts w:ascii="Arial"/>
          <w:sz w:val="21"/>
        </w:rPr>
      </w:pPr>
    </w:p>
    <w:p w14:paraId="163DDE93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2714BF68">
      <w:pPr>
        <w:spacing w:line="252" w:lineRule="auto"/>
        <w:rPr>
          <w:rFonts w:ascii="Arial"/>
          <w:sz w:val="21"/>
        </w:rPr>
      </w:pPr>
    </w:p>
    <w:p w14:paraId="79D117F6">
      <w:pPr>
        <w:spacing w:line="252" w:lineRule="auto"/>
        <w:rPr>
          <w:rFonts w:ascii="Arial"/>
          <w:sz w:val="21"/>
        </w:rPr>
      </w:pPr>
    </w:p>
    <w:p w14:paraId="3DF58B2B">
      <w:pPr>
        <w:spacing w:line="253" w:lineRule="auto"/>
        <w:rPr>
          <w:rFonts w:ascii="Arial"/>
          <w:sz w:val="21"/>
        </w:rPr>
      </w:pPr>
    </w:p>
    <w:p w14:paraId="7EF9B8F7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</w:t>
      </w:r>
      <w:r>
        <w:rPr>
          <w:rFonts w:hint="eastAsia"/>
          <w:spacing w:val="8"/>
          <w:sz w:val="31"/>
          <w:szCs w:val="31"/>
          <w:lang w:eastAsia="zh-CN"/>
        </w:rPr>
        <w:t>NK2026G00</w:t>
      </w:r>
      <w:r>
        <w:rPr>
          <w:rFonts w:hint="eastAsia"/>
          <w:spacing w:val="8"/>
          <w:sz w:val="31"/>
          <w:szCs w:val="31"/>
          <w:lang w:val="en-US" w:eastAsia="zh-CN"/>
        </w:rPr>
        <w:t>6</w:t>
      </w:r>
      <w:r>
        <w:rPr>
          <w:spacing w:val="8"/>
          <w:sz w:val="31"/>
          <w:szCs w:val="31"/>
        </w:rPr>
        <w:t>的</w:t>
      </w:r>
      <w:r>
        <w:rPr>
          <w:rFonts w:hint="eastAsia"/>
          <w:spacing w:val="8"/>
          <w:sz w:val="31"/>
          <w:szCs w:val="31"/>
        </w:rPr>
        <w:t>南开大学智能光子研究院前沿交叉学科中心A座1层与2层实验室改造工程</w:t>
      </w:r>
      <w:r>
        <w:rPr>
          <w:spacing w:val="8"/>
          <w:sz w:val="31"/>
          <w:szCs w:val="31"/>
        </w:rPr>
        <w:t>更正公告。</w:t>
      </w:r>
    </w:p>
    <w:p w14:paraId="69183C58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我公司已明确知悉更正公告内容、对供应商疑问函的答复等相关事项，在此确认我方在投标中已考虑和包含了更正公告中的要求。并对于</w:t>
      </w:r>
      <w:r>
        <w:rPr>
          <w:rFonts w:hint="eastAsia"/>
          <w:spacing w:val="8"/>
          <w:sz w:val="31"/>
          <w:szCs w:val="31"/>
        </w:rPr>
        <w:t>2026年</w:t>
      </w:r>
      <w:r>
        <w:rPr>
          <w:rFonts w:hint="eastAsia"/>
          <w:spacing w:val="8"/>
          <w:sz w:val="31"/>
          <w:szCs w:val="31"/>
          <w:lang w:val="en-US" w:eastAsia="zh-CN"/>
        </w:rPr>
        <w:t>5</w:t>
      </w:r>
      <w:r>
        <w:rPr>
          <w:rFonts w:hint="eastAsia"/>
          <w:spacing w:val="8"/>
          <w:sz w:val="31"/>
          <w:szCs w:val="31"/>
        </w:rPr>
        <w:t>月</w:t>
      </w:r>
      <w:r>
        <w:rPr>
          <w:rFonts w:hint="eastAsia"/>
          <w:spacing w:val="8"/>
          <w:sz w:val="31"/>
          <w:szCs w:val="31"/>
          <w:lang w:val="en-US" w:eastAsia="zh-CN"/>
        </w:rPr>
        <w:t>21</w:t>
      </w:r>
      <w:r>
        <w:rPr>
          <w:rFonts w:hint="eastAsia"/>
          <w:spacing w:val="8"/>
          <w:sz w:val="31"/>
          <w:szCs w:val="31"/>
        </w:rPr>
        <w:t>日09点30分</w:t>
      </w:r>
      <w:r>
        <w:rPr>
          <w:spacing w:val="8"/>
          <w:sz w:val="31"/>
          <w:szCs w:val="31"/>
        </w:rPr>
        <w:t>（北京时间）开标及更正公告内容无异议。</w:t>
      </w:r>
    </w:p>
    <w:p w14:paraId="14C52E1E">
      <w:pPr>
        <w:spacing w:line="283" w:lineRule="auto"/>
        <w:rPr>
          <w:rFonts w:ascii="Arial"/>
          <w:sz w:val="21"/>
        </w:rPr>
      </w:pPr>
    </w:p>
    <w:p w14:paraId="2F59805A">
      <w:pPr>
        <w:spacing w:line="283" w:lineRule="auto"/>
        <w:rPr>
          <w:rFonts w:ascii="Arial"/>
          <w:sz w:val="21"/>
        </w:rPr>
      </w:pPr>
    </w:p>
    <w:p w14:paraId="480A1F56">
      <w:pPr>
        <w:spacing w:line="284" w:lineRule="auto"/>
        <w:rPr>
          <w:rFonts w:ascii="Arial"/>
          <w:sz w:val="21"/>
        </w:rPr>
      </w:pPr>
    </w:p>
    <w:p w14:paraId="1455FD93">
      <w:pPr>
        <w:spacing w:line="284" w:lineRule="auto"/>
        <w:rPr>
          <w:rFonts w:ascii="Arial"/>
          <w:sz w:val="21"/>
        </w:rPr>
      </w:pPr>
    </w:p>
    <w:p w14:paraId="634642E3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4E7C7595">
      <w:pPr>
        <w:spacing w:line="253" w:lineRule="auto"/>
        <w:rPr>
          <w:rFonts w:ascii="Arial"/>
          <w:sz w:val="21"/>
        </w:rPr>
      </w:pPr>
    </w:p>
    <w:p w14:paraId="4861A91A">
      <w:pPr>
        <w:spacing w:line="253" w:lineRule="auto"/>
        <w:rPr>
          <w:rFonts w:ascii="Arial"/>
          <w:sz w:val="21"/>
        </w:rPr>
      </w:pPr>
    </w:p>
    <w:p w14:paraId="4E5A375D">
      <w:pPr>
        <w:spacing w:line="253" w:lineRule="auto"/>
        <w:rPr>
          <w:rFonts w:ascii="Arial"/>
          <w:sz w:val="21"/>
        </w:rPr>
      </w:pPr>
    </w:p>
    <w:p w14:paraId="6C95DD6B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sectPr>
      <w:footerReference r:id="rId6" w:type="default"/>
      <w:pgSz w:w="11907" w:h="16840"/>
      <w:pgMar w:top="1431" w:right="1241" w:bottom="1145" w:left="1284" w:header="0" w:footer="95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1DC39">
    <w:pPr>
      <w:spacing w:line="193" w:lineRule="auto"/>
      <w:ind w:left="5042"/>
      <w:rPr>
        <w:rFonts w:hint="eastAsia" w:ascii="Arial" w:hAnsi="Arial" w:eastAsia="宋体" w:cs="Arial"/>
        <w:sz w:val="20"/>
        <w:szCs w:val="20"/>
        <w:lang w:val="en-US" w:eastAsia="zh-CN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2CE59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2CE59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EAA2B">
    <w:pPr>
      <w:spacing w:line="193" w:lineRule="auto"/>
      <w:ind w:left="4622"/>
      <w:rPr>
        <w:rFonts w:ascii="Arial" w:hAnsi="Arial" w:eastAsia="Arial" w:cs="Arial"/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9A01A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9A01A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6B2A68"/>
    <w:rsid w:val="02991BE6"/>
    <w:rsid w:val="089C4DCB"/>
    <w:rsid w:val="16576F0C"/>
    <w:rsid w:val="193E7F56"/>
    <w:rsid w:val="1E2E3F52"/>
    <w:rsid w:val="2D6F073D"/>
    <w:rsid w:val="51C5332C"/>
    <w:rsid w:val="531F00AA"/>
    <w:rsid w:val="58535FF8"/>
    <w:rsid w:val="59A03559"/>
    <w:rsid w:val="5B517FEA"/>
    <w:rsid w:val="64AF3C60"/>
    <w:rsid w:val="7BFD3AA4"/>
    <w:rsid w:val="7CEF6506"/>
    <w:rsid w:val="7DCA29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686</Words>
  <Characters>761</Characters>
  <TotalTime>2</TotalTime>
  <ScaleCrop>false</ScaleCrop>
  <LinksUpToDate>false</LinksUpToDate>
  <CharactersWithSpaces>770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2025-06-17T22:05:00Z</dcterms:created>
  <dc:creator>苏丹</dc:creator>
  <cp:lastModifiedBy>YTZB</cp:lastModifiedBy>
  <dcterms:modified xsi:type="dcterms:W3CDTF">2026-05-18T09:42:07Z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2025-09-08T11:37:56Z</vt:filetime>
  </property>
  <property fmtid="{D5CDD505-2E9C-101B-9397-08002B2CF9AE}" pid="4" name="KSOTemplateDocerSaveRecord">
    <vt:lpwstr>eyJoZGlkIjoiMTYxYTgwOTBhMWJlZWFkN2Y1YzM0OWE4MjY0NjdkNzciLCJ1c2VySWQiOiIyMzU5NjAwMjAifQ==</vt:lpwstr>
  </property>
  <property fmtid="{D5CDD505-2E9C-101B-9397-08002B2CF9AE}" pid="5" name="KSOProductBuildVer">
    <vt:lpwstr>2052-12.1.0.25865</vt:lpwstr>
  </property>
  <property fmtid="{D5CDD505-2E9C-101B-9397-08002B2CF9AE}" pid="6" name="ICV">
    <vt:lpwstr>EB08C4BC5D01496EB47B3145A6917D2B_13</vt:lpwstr>
  </property>
</Properties>
</file>